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numPr>
          <w:ilvl w:val="0"/>
          <w:numId w:val="0"/>
        </w:numPr>
        <w:kinsoku/>
        <w:wordWrap/>
        <w:overflowPunct/>
        <w:topLinePunct w:val="0"/>
        <w:autoSpaceDE/>
        <w:autoSpaceDN/>
        <w:bidi w:val="0"/>
        <w:adjustRightInd w:val="0"/>
        <w:snapToGrid w:val="0"/>
        <w:spacing w:before="157" w:beforeLines="50" w:after="157" w:afterLines="50" w:line="560" w:lineRule="exact"/>
        <w:jc w:val="center"/>
        <w:textAlignment w:val="auto"/>
        <w:rPr>
          <w:rFonts w:hint="eastAsia" w:ascii="方正小标宋简体" w:hAnsi="方正小标宋简体" w:eastAsia="方正小标宋简体" w:cs="方正小标宋简体"/>
          <w:b w:val="0"/>
          <w:bCs/>
          <w:color w:val="auto"/>
          <w:sz w:val="36"/>
          <w:szCs w:val="36"/>
        </w:rPr>
      </w:pPr>
      <w:r>
        <w:rPr>
          <w:rFonts w:hint="eastAsia" w:ascii="方正小标宋简体" w:hAnsi="方正小标宋简体" w:eastAsia="方正小标宋简体" w:cs="方正小标宋简体"/>
          <w:b w:val="0"/>
          <w:bCs/>
          <w:color w:val="auto"/>
          <w:sz w:val="36"/>
          <w:szCs w:val="36"/>
        </w:rPr>
        <w:t>服务类</w:t>
      </w:r>
      <w:r>
        <w:rPr>
          <w:rFonts w:hint="eastAsia" w:ascii="方正小标宋简体" w:hAnsi="方正小标宋简体" w:eastAsia="方正小标宋简体" w:cs="方正小标宋简体"/>
          <w:b w:val="0"/>
          <w:bCs/>
          <w:color w:val="auto"/>
          <w:sz w:val="36"/>
          <w:szCs w:val="36"/>
          <w:lang w:eastAsia="zh-CN"/>
        </w:rPr>
        <w:t>项目</w:t>
      </w:r>
      <w:r>
        <w:rPr>
          <w:rFonts w:hint="eastAsia" w:ascii="方正小标宋简体" w:hAnsi="方正小标宋简体" w:eastAsia="方正小标宋简体" w:cs="方正小标宋简体"/>
          <w:b w:val="0"/>
          <w:bCs/>
          <w:color w:val="auto"/>
          <w:sz w:val="36"/>
          <w:szCs w:val="36"/>
        </w:rPr>
        <w:t>采购需求</w:t>
      </w:r>
    </w:p>
    <w:p>
      <w:pPr>
        <w:keepNext w:val="0"/>
        <w:keepLines w:val="0"/>
        <w:pageBreakBefore w:val="0"/>
        <w:widowControl w:val="0"/>
        <w:numPr>
          <w:ilvl w:val="0"/>
          <w:numId w:val="0"/>
        </w:numPr>
        <w:kinsoku/>
        <w:wordWrap/>
        <w:overflowPunct/>
        <w:topLinePunct w:val="0"/>
        <w:autoSpaceDE/>
        <w:autoSpaceDN/>
        <w:bidi w:val="0"/>
        <w:snapToGrid w:val="0"/>
        <w:spacing w:line="560" w:lineRule="exact"/>
        <w:ind w:firstLine="640" w:firstLineChars="200"/>
        <w:textAlignment w:val="auto"/>
        <w:rPr>
          <w:rFonts w:hint="eastAsia" w:ascii="黑体" w:hAnsi="黑体" w:eastAsia="黑体" w:cs="黑体"/>
          <w:b w:val="0"/>
          <w:bCs/>
          <w:sz w:val="32"/>
          <w:szCs w:val="32"/>
          <w:lang w:val="en-US" w:eastAsia="zh-CN"/>
        </w:rPr>
      </w:pPr>
      <w:r>
        <w:rPr>
          <w:rFonts w:hint="eastAsia" w:ascii="黑体" w:hAnsi="黑体" w:eastAsia="黑体" w:cs="黑体"/>
          <w:b w:val="0"/>
          <w:bCs/>
          <w:color w:val="auto"/>
          <w:sz w:val="32"/>
          <w:szCs w:val="32"/>
          <w:lang w:eastAsia="zh-CN"/>
        </w:rPr>
        <w:t>一、</w:t>
      </w:r>
      <w:r>
        <w:rPr>
          <w:rFonts w:hint="eastAsia" w:ascii="黑体" w:hAnsi="黑体" w:eastAsia="黑体" w:cs="黑体"/>
          <w:b w:val="0"/>
          <w:bCs/>
          <w:color w:val="auto"/>
          <w:sz w:val="32"/>
          <w:szCs w:val="32"/>
        </w:rPr>
        <w:t>采购项目概况</w:t>
      </w:r>
    </w:p>
    <w:p>
      <w:pPr>
        <w:keepNext w:val="0"/>
        <w:keepLines w:val="0"/>
        <w:pageBreakBefore w:val="0"/>
        <w:widowControl w:val="0"/>
        <w:numPr>
          <w:ilvl w:val="0"/>
          <w:numId w:val="0"/>
        </w:numPr>
        <w:kinsoku/>
        <w:wordWrap/>
        <w:overflowPunct/>
        <w:topLinePunct w:val="0"/>
        <w:autoSpaceDE/>
        <w:autoSpaceDN/>
        <w:bidi w:val="0"/>
        <w:adjustRightInd w:val="0"/>
        <w:snapToGrid w:val="0"/>
        <w:spacing w:line="500" w:lineRule="exact"/>
        <w:ind w:firstLine="560" w:firstLineChars="200"/>
        <w:textAlignment w:val="auto"/>
        <w:rPr>
          <w:rFonts w:hint="eastAsia" w:ascii="仿宋_GB2312" w:hAnsi="仿宋_GB2312" w:eastAsia="仿宋_GB2312" w:cs="仿宋_GB2312"/>
          <w:bCs/>
          <w:color w:val="auto"/>
          <w:sz w:val="28"/>
          <w:szCs w:val="28"/>
          <w:highlight w:val="none"/>
          <w:lang w:val="en-US" w:eastAsia="zh-CN"/>
        </w:rPr>
      </w:pPr>
      <w:r>
        <w:rPr>
          <w:rFonts w:hint="eastAsia" w:ascii="仿宋_GB2312" w:hAnsi="仿宋_GB2312" w:eastAsia="仿宋_GB2312" w:cs="仿宋_GB2312"/>
          <w:bCs/>
          <w:color w:val="auto"/>
          <w:sz w:val="28"/>
          <w:szCs w:val="28"/>
          <w:highlight w:val="none"/>
          <w:lang w:val="en-US" w:eastAsia="zh-CN"/>
        </w:rPr>
        <w:t>1.项目名称：区应急管理监测预警平台功能提升服务</w:t>
      </w:r>
    </w:p>
    <w:p>
      <w:pPr>
        <w:numPr>
          <w:ilvl w:val="0"/>
          <w:numId w:val="0"/>
        </w:numPr>
        <w:adjustRightInd w:val="0"/>
        <w:snapToGrid w:val="0"/>
        <w:spacing w:line="500" w:lineRule="exact"/>
        <w:ind w:firstLine="560" w:firstLineChars="200"/>
        <w:rPr>
          <w:rFonts w:hint="eastAsia" w:ascii="仿宋_GB2312" w:hAnsi="仿宋_GB2312" w:eastAsia="仿宋_GB2312" w:cs="仿宋_GB2312"/>
          <w:bCs/>
          <w:color w:val="auto"/>
          <w:sz w:val="28"/>
          <w:szCs w:val="28"/>
          <w:highlight w:val="none"/>
          <w:lang w:val="en-US" w:eastAsia="zh-CN"/>
        </w:rPr>
      </w:pPr>
      <w:r>
        <w:rPr>
          <w:rFonts w:hint="eastAsia" w:ascii="仿宋_GB2312" w:hAnsi="仿宋_GB2312" w:eastAsia="仿宋_GB2312" w:cs="仿宋_GB2312"/>
          <w:bCs/>
          <w:color w:val="auto"/>
          <w:sz w:val="28"/>
          <w:szCs w:val="28"/>
          <w:highlight w:val="none"/>
          <w:lang w:val="en-US" w:eastAsia="zh-CN"/>
        </w:rPr>
        <w:t>2.采购人：福田区应急管理局</w:t>
      </w:r>
    </w:p>
    <w:p>
      <w:pPr>
        <w:numPr>
          <w:ilvl w:val="0"/>
          <w:numId w:val="0"/>
        </w:numPr>
        <w:adjustRightInd w:val="0"/>
        <w:snapToGrid w:val="0"/>
        <w:spacing w:line="500" w:lineRule="exact"/>
        <w:ind w:firstLine="560" w:firstLineChars="200"/>
        <w:rPr>
          <w:rFonts w:hint="eastAsia" w:ascii="仿宋_GB2312" w:hAnsi="仿宋_GB2312" w:eastAsia="仿宋_GB2312" w:cs="仿宋_GB2312"/>
          <w:bCs/>
          <w:color w:val="auto"/>
          <w:sz w:val="28"/>
          <w:szCs w:val="28"/>
          <w:highlight w:val="none"/>
          <w:lang w:val="en-US" w:eastAsia="zh-CN"/>
        </w:rPr>
      </w:pPr>
      <w:r>
        <w:rPr>
          <w:rFonts w:hint="eastAsia" w:ascii="仿宋_GB2312" w:hAnsi="仿宋_GB2312" w:eastAsia="仿宋_GB2312" w:cs="仿宋_GB2312"/>
          <w:bCs/>
          <w:color w:val="auto"/>
          <w:sz w:val="28"/>
          <w:szCs w:val="28"/>
          <w:highlight w:val="none"/>
          <w:lang w:val="en-US" w:eastAsia="zh-CN"/>
        </w:rPr>
        <w:t>3.预算金额：64.5万元</w:t>
      </w:r>
    </w:p>
    <w:p>
      <w:pPr>
        <w:numPr>
          <w:ilvl w:val="0"/>
          <w:numId w:val="0"/>
        </w:numPr>
        <w:adjustRightInd w:val="0"/>
        <w:snapToGrid w:val="0"/>
        <w:spacing w:line="500" w:lineRule="exact"/>
        <w:ind w:firstLine="560" w:firstLineChars="200"/>
        <w:rPr>
          <w:rFonts w:hint="eastAsia" w:ascii="仿宋_GB2312" w:hAnsi="仿宋_GB2312" w:eastAsia="仿宋_GB2312" w:cs="仿宋_GB2312"/>
          <w:bCs/>
          <w:color w:val="auto"/>
          <w:sz w:val="28"/>
          <w:szCs w:val="28"/>
          <w:highlight w:val="none"/>
          <w:lang w:val="en-US" w:eastAsia="zh-CN"/>
        </w:rPr>
      </w:pPr>
      <w:r>
        <w:rPr>
          <w:rFonts w:hint="eastAsia" w:ascii="仿宋_GB2312" w:hAnsi="仿宋_GB2312" w:eastAsia="仿宋_GB2312" w:cs="仿宋_GB2312"/>
          <w:bCs/>
          <w:color w:val="auto"/>
          <w:sz w:val="28"/>
          <w:szCs w:val="28"/>
          <w:highlight w:val="none"/>
          <w:lang w:val="en-US" w:eastAsia="zh-CN"/>
        </w:rPr>
        <w:t>4.采购方式：公开征集</w:t>
      </w:r>
    </w:p>
    <w:p>
      <w:pPr>
        <w:numPr>
          <w:ilvl w:val="0"/>
          <w:numId w:val="0"/>
        </w:numPr>
        <w:adjustRightInd w:val="0"/>
        <w:snapToGrid w:val="0"/>
        <w:spacing w:line="500" w:lineRule="exact"/>
        <w:ind w:firstLine="560" w:firstLineChars="200"/>
        <w:rPr>
          <w:rFonts w:hint="eastAsia" w:ascii="仿宋_GB2312" w:hAnsi="仿宋_GB2312" w:eastAsia="仿宋_GB2312" w:cs="仿宋_GB2312"/>
          <w:bCs/>
          <w:color w:val="auto"/>
          <w:sz w:val="28"/>
          <w:szCs w:val="28"/>
          <w:highlight w:val="none"/>
          <w:lang w:val="en-US" w:eastAsia="zh-CN"/>
        </w:rPr>
      </w:pPr>
      <w:r>
        <w:rPr>
          <w:rFonts w:hint="eastAsia" w:ascii="仿宋_GB2312" w:hAnsi="仿宋_GB2312" w:eastAsia="仿宋_GB2312" w:cs="仿宋_GB2312"/>
          <w:bCs/>
          <w:color w:val="auto"/>
          <w:sz w:val="28"/>
          <w:szCs w:val="28"/>
          <w:highlight w:val="none"/>
          <w:lang w:val="en-US" w:eastAsia="zh-CN"/>
        </w:rPr>
        <w:t>5.评审方法：综合评分法</w:t>
      </w:r>
    </w:p>
    <w:p>
      <w:pPr>
        <w:keepNext w:val="0"/>
        <w:keepLines w:val="0"/>
        <w:pageBreakBefore w:val="0"/>
        <w:widowControl w:val="0"/>
        <w:numPr>
          <w:ilvl w:val="0"/>
          <w:numId w:val="0"/>
        </w:numPr>
        <w:kinsoku/>
        <w:wordWrap/>
        <w:overflowPunct/>
        <w:topLinePunct w:val="0"/>
        <w:autoSpaceDE/>
        <w:autoSpaceDN/>
        <w:bidi w:val="0"/>
        <w:snapToGrid w:val="0"/>
        <w:spacing w:line="560" w:lineRule="exact"/>
        <w:ind w:firstLine="560" w:firstLineChars="200"/>
        <w:textAlignment w:val="auto"/>
        <w:rPr>
          <w:rFonts w:hint="eastAsia" w:ascii="仿宋_GB2312" w:hAnsi="仿宋_GB2312" w:eastAsia="仿宋_GB2312" w:cs="仿宋_GB2312"/>
          <w:bCs/>
          <w:color w:val="auto"/>
          <w:sz w:val="28"/>
          <w:szCs w:val="28"/>
          <w:highlight w:val="none"/>
          <w:lang w:val="en-US" w:eastAsia="zh-CN"/>
        </w:rPr>
      </w:pPr>
      <w:r>
        <w:rPr>
          <w:rFonts w:hint="eastAsia" w:ascii="仿宋_GB2312" w:hAnsi="仿宋_GB2312" w:eastAsia="仿宋_GB2312" w:cs="仿宋_GB2312"/>
          <w:bCs/>
          <w:color w:val="auto"/>
          <w:sz w:val="28"/>
          <w:szCs w:val="28"/>
          <w:highlight w:val="none"/>
          <w:lang w:val="en-US" w:eastAsia="zh-CN"/>
        </w:rPr>
        <w:t>6.项目概述：根据《福田区应急管理监测预警指挥体系建设工作方案》《区突发事件应急委员会关于印发福田区2025年应急管理工作要点的通知》要求，区应急管理监测预警平台须对部分新接入系统进行数据处理并优化呈现界面，迭代升级算法，进一步提升平台自动化操作水平，强化监测预警能力。</w:t>
      </w:r>
    </w:p>
    <w:p>
      <w:pPr>
        <w:keepNext w:val="0"/>
        <w:keepLines w:val="0"/>
        <w:pageBreakBefore w:val="0"/>
        <w:widowControl w:val="0"/>
        <w:numPr>
          <w:ilvl w:val="0"/>
          <w:numId w:val="0"/>
        </w:numPr>
        <w:kinsoku/>
        <w:wordWrap/>
        <w:overflowPunct/>
        <w:topLinePunct w:val="0"/>
        <w:autoSpaceDE/>
        <w:autoSpaceDN/>
        <w:bidi w:val="0"/>
        <w:snapToGrid w:val="0"/>
        <w:spacing w:line="560" w:lineRule="exact"/>
        <w:ind w:firstLine="640" w:firstLineChars="200"/>
        <w:textAlignment w:val="auto"/>
        <w:rPr>
          <w:rFonts w:hint="eastAsia" w:ascii="黑体" w:hAnsi="黑体" w:eastAsia="黑体" w:cs="黑体"/>
          <w:b w:val="0"/>
          <w:bCs/>
          <w:color w:val="auto"/>
          <w:sz w:val="32"/>
          <w:szCs w:val="32"/>
        </w:rPr>
      </w:pPr>
      <w:r>
        <w:rPr>
          <w:rFonts w:hint="eastAsia" w:ascii="黑体" w:hAnsi="黑体" w:eastAsia="黑体" w:cs="黑体"/>
          <w:b w:val="0"/>
          <w:bCs/>
          <w:color w:val="auto"/>
          <w:sz w:val="32"/>
          <w:szCs w:val="32"/>
        </w:rPr>
        <w:t>二、项目管理和服务要求</w:t>
      </w:r>
    </w:p>
    <w:p>
      <w:pPr>
        <w:keepNext w:val="0"/>
        <w:keepLines w:val="0"/>
        <w:pageBreakBefore w:val="0"/>
        <w:widowControl w:val="0"/>
        <w:numPr>
          <w:ilvl w:val="0"/>
          <w:numId w:val="0"/>
        </w:numPr>
        <w:kinsoku/>
        <w:wordWrap/>
        <w:overflowPunct/>
        <w:topLinePunct w:val="0"/>
        <w:autoSpaceDE/>
        <w:autoSpaceDN/>
        <w:bidi w:val="0"/>
        <w:snapToGrid w:val="0"/>
        <w:spacing w:line="560" w:lineRule="exact"/>
        <w:ind w:firstLine="560" w:firstLineChars="200"/>
        <w:textAlignment w:val="auto"/>
        <w:rPr>
          <w:rFonts w:hint="eastAsia" w:ascii="仿宋_GB2312" w:hAnsi="仿宋_GB2312" w:eastAsia="仿宋_GB2312" w:cs="仿宋_GB2312"/>
          <w:bCs/>
          <w:color w:val="auto"/>
          <w:sz w:val="28"/>
          <w:szCs w:val="28"/>
          <w:highlight w:val="none"/>
          <w:lang w:val="en-US" w:eastAsia="zh-CN"/>
        </w:rPr>
      </w:pPr>
      <w:r>
        <w:rPr>
          <w:rFonts w:hint="eastAsia" w:ascii="仿宋_GB2312" w:hAnsi="仿宋_GB2312" w:eastAsia="仿宋_GB2312" w:cs="仿宋_GB2312"/>
          <w:bCs/>
          <w:color w:val="auto"/>
          <w:sz w:val="28"/>
          <w:szCs w:val="28"/>
          <w:highlight w:val="none"/>
          <w:lang w:val="en-US" w:eastAsia="zh-CN"/>
        </w:rPr>
        <w:t>1、服务内容</w:t>
      </w:r>
    </w:p>
    <w:p>
      <w:pPr>
        <w:keepNext w:val="0"/>
        <w:keepLines w:val="0"/>
        <w:pageBreakBefore w:val="0"/>
        <w:widowControl w:val="0"/>
        <w:numPr>
          <w:ilvl w:val="0"/>
          <w:numId w:val="0"/>
        </w:numPr>
        <w:kinsoku/>
        <w:wordWrap/>
        <w:overflowPunct/>
        <w:topLinePunct w:val="0"/>
        <w:autoSpaceDE/>
        <w:autoSpaceDN/>
        <w:bidi w:val="0"/>
        <w:snapToGrid w:val="0"/>
        <w:spacing w:line="560" w:lineRule="exact"/>
        <w:ind w:firstLine="560" w:firstLineChars="200"/>
        <w:textAlignment w:val="auto"/>
        <w:rPr>
          <w:rFonts w:hint="eastAsia" w:ascii="仿宋_GB2312" w:hAnsi="仿宋_GB2312" w:eastAsia="仿宋_GB2312" w:cs="仿宋_GB2312"/>
          <w:bCs/>
          <w:color w:val="auto"/>
          <w:sz w:val="28"/>
          <w:szCs w:val="28"/>
          <w:highlight w:val="none"/>
          <w:lang w:val="en" w:eastAsia="zh-CN"/>
        </w:rPr>
      </w:pPr>
      <w:r>
        <w:rPr>
          <w:rFonts w:hint="eastAsia" w:ascii="仿宋_GB2312" w:hAnsi="仿宋_GB2312" w:eastAsia="仿宋_GB2312" w:cs="仿宋_GB2312"/>
          <w:bCs/>
          <w:color w:val="auto"/>
          <w:sz w:val="28"/>
          <w:szCs w:val="28"/>
          <w:highlight w:val="none"/>
          <w:lang w:val="en-US" w:eastAsia="zh-CN"/>
        </w:rPr>
        <w:t>（1）平台优化服务</w:t>
      </w:r>
    </w:p>
    <w:p>
      <w:pPr>
        <w:keepNext w:val="0"/>
        <w:keepLines w:val="0"/>
        <w:pageBreakBefore w:val="0"/>
        <w:widowControl w:val="0"/>
        <w:numPr>
          <w:ilvl w:val="0"/>
          <w:numId w:val="0"/>
        </w:numPr>
        <w:kinsoku/>
        <w:wordWrap/>
        <w:overflowPunct/>
        <w:topLinePunct w:val="0"/>
        <w:autoSpaceDE/>
        <w:autoSpaceDN/>
        <w:bidi w:val="0"/>
        <w:snapToGrid w:val="0"/>
        <w:spacing w:line="560" w:lineRule="exact"/>
        <w:ind w:firstLine="560" w:firstLineChars="200"/>
        <w:textAlignment w:val="auto"/>
        <w:rPr>
          <w:rFonts w:hint="eastAsia" w:ascii="仿宋_GB2312" w:hAnsi="仿宋_GB2312" w:eastAsia="仿宋_GB2312" w:cs="仿宋_GB2312"/>
          <w:bCs/>
          <w:color w:val="auto"/>
          <w:sz w:val="28"/>
          <w:szCs w:val="28"/>
          <w:highlight w:val="none"/>
          <w:lang w:val="en-US" w:eastAsia="zh-CN"/>
        </w:rPr>
      </w:pPr>
      <w:r>
        <w:rPr>
          <w:rFonts w:hint="eastAsia" w:ascii="仿宋_GB2312" w:hAnsi="仿宋_GB2312" w:eastAsia="仿宋_GB2312" w:cs="仿宋_GB2312"/>
          <w:bCs/>
          <w:color w:val="auto"/>
          <w:sz w:val="28"/>
          <w:szCs w:val="28"/>
          <w:highlight w:val="none"/>
          <w:lang w:val="en" w:eastAsia="zh-CN"/>
        </w:rPr>
        <w:t>（</w:t>
      </w:r>
      <w:r>
        <w:rPr>
          <w:rFonts w:hint="eastAsia" w:ascii="仿宋_GB2312" w:hAnsi="仿宋_GB2312" w:eastAsia="仿宋_GB2312" w:cs="仿宋_GB2312"/>
          <w:bCs/>
          <w:color w:val="auto"/>
          <w:sz w:val="28"/>
          <w:szCs w:val="28"/>
          <w:highlight w:val="none"/>
          <w:lang w:val="en-US" w:eastAsia="zh-CN"/>
        </w:rPr>
        <w:t>2</w:t>
      </w:r>
      <w:r>
        <w:rPr>
          <w:rFonts w:hint="eastAsia" w:ascii="仿宋_GB2312" w:hAnsi="仿宋_GB2312" w:eastAsia="仿宋_GB2312" w:cs="仿宋_GB2312"/>
          <w:bCs/>
          <w:color w:val="auto"/>
          <w:sz w:val="28"/>
          <w:szCs w:val="28"/>
          <w:highlight w:val="none"/>
          <w:lang w:val="en" w:eastAsia="zh-CN"/>
        </w:rPr>
        <w:t>）</w:t>
      </w:r>
      <w:r>
        <w:rPr>
          <w:rFonts w:hint="eastAsia" w:ascii="仿宋_GB2312" w:hAnsi="仿宋_GB2312" w:eastAsia="仿宋_GB2312" w:cs="仿宋_GB2312"/>
          <w:bCs/>
          <w:color w:val="auto"/>
          <w:sz w:val="28"/>
          <w:szCs w:val="28"/>
          <w:highlight w:val="none"/>
          <w:lang w:val="en-US" w:eastAsia="zh-CN"/>
        </w:rPr>
        <w:t>功能优化</w:t>
      </w:r>
    </w:p>
    <w:p>
      <w:pPr>
        <w:keepNext w:val="0"/>
        <w:keepLines w:val="0"/>
        <w:pageBreakBefore w:val="0"/>
        <w:widowControl w:val="0"/>
        <w:numPr>
          <w:ilvl w:val="0"/>
          <w:numId w:val="0"/>
        </w:numPr>
        <w:kinsoku/>
        <w:wordWrap/>
        <w:overflowPunct/>
        <w:topLinePunct w:val="0"/>
        <w:autoSpaceDE/>
        <w:autoSpaceDN/>
        <w:bidi w:val="0"/>
        <w:snapToGrid w:val="0"/>
        <w:spacing w:line="560" w:lineRule="exact"/>
        <w:ind w:firstLine="560" w:firstLineChars="200"/>
        <w:textAlignment w:val="auto"/>
        <w:rPr>
          <w:rFonts w:hint="eastAsia" w:ascii="仿宋_GB2312" w:hAnsi="仿宋_GB2312" w:eastAsia="仿宋_GB2312" w:cs="仿宋_GB2312"/>
          <w:bCs/>
          <w:color w:val="auto"/>
          <w:sz w:val="28"/>
          <w:szCs w:val="28"/>
          <w:highlight w:val="none"/>
          <w:lang w:val="en-US" w:eastAsia="zh-CN"/>
        </w:rPr>
      </w:pPr>
      <w:r>
        <w:rPr>
          <w:rFonts w:hint="eastAsia" w:ascii="仿宋_GB2312" w:hAnsi="仿宋_GB2312" w:eastAsia="仿宋_GB2312" w:cs="仿宋_GB2312"/>
          <w:bCs/>
          <w:color w:val="auto"/>
          <w:sz w:val="28"/>
          <w:szCs w:val="28"/>
          <w:highlight w:val="none"/>
          <w:lang w:val="en-US" w:eastAsia="zh-CN"/>
        </w:rPr>
        <w:t>（3）算法升级</w:t>
      </w:r>
    </w:p>
    <w:p>
      <w:pPr>
        <w:pStyle w:val="2"/>
        <w:rPr>
          <w:rFonts w:hint="eastAsia"/>
          <w:lang w:val="en-US" w:eastAsia="zh-CN"/>
        </w:rPr>
      </w:pPr>
    </w:p>
    <w:tbl>
      <w:tblPr>
        <w:tblStyle w:val="4"/>
        <w:tblW w:w="9825"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872"/>
        <w:gridCol w:w="1077"/>
        <w:gridCol w:w="1240"/>
        <w:gridCol w:w="1296"/>
        <w:gridCol w:w="534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4" w:hRule="atLeast"/>
        </w:trPr>
        <w:tc>
          <w:tcPr>
            <w:tcW w:w="8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b/>
                <w:bCs/>
                <w:i w:val="0"/>
                <w:iCs w:val="0"/>
                <w:color w:val="auto"/>
                <w:kern w:val="0"/>
                <w:sz w:val="20"/>
                <w:szCs w:val="20"/>
                <w:u w:val="none"/>
                <w:lang w:val="en-US" w:eastAsia="zh-CN" w:bidi="ar"/>
              </w:rPr>
              <w:t>序号</w:t>
            </w:r>
          </w:p>
        </w:tc>
        <w:tc>
          <w:tcPr>
            <w:tcW w:w="1077"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b/>
                <w:bCs/>
                <w:i w:val="0"/>
                <w:iCs w:val="0"/>
                <w:color w:val="auto"/>
                <w:kern w:val="0"/>
                <w:sz w:val="20"/>
                <w:szCs w:val="20"/>
                <w:u w:val="none"/>
                <w:lang w:val="en-US" w:eastAsia="zh-CN" w:bidi="ar"/>
              </w:rPr>
              <w:t>项目名称</w:t>
            </w:r>
          </w:p>
        </w:tc>
        <w:tc>
          <w:tcPr>
            <w:tcW w:w="25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b/>
                <w:bCs/>
                <w:i w:val="0"/>
                <w:iCs w:val="0"/>
                <w:color w:val="auto"/>
                <w:kern w:val="0"/>
                <w:sz w:val="20"/>
                <w:szCs w:val="20"/>
                <w:u w:val="none"/>
                <w:lang w:val="en-US" w:eastAsia="zh-CN" w:bidi="ar"/>
              </w:rPr>
              <w:t>子项目</w:t>
            </w:r>
          </w:p>
        </w:tc>
        <w:tc>
          <w:tcPr>
            <w:tcW w:w="5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tabs>
                <w:tab w:val="left" w:pos="2058"/>
                <w:tab w:val="center" w:pos="2621"/>
              </w:tabs>
              <w:jc w:val="left"/>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cs="宋体"/>
                <w:b/>
                <w:bCs/>
                <w:i w:val="0"/>
                <w:iCs w:val="0"/>
                <w:color w:val="auto"/>
                <w:kern w:val="0"/>
                <w:sz w:val="20"/>
                <w:szCs w:val="20"/>
                <w:u w:val="none"/>
                <w:lang w:val="en-US" w:eastAsia="zh-CN" w:bidi="ar"/>
              </w:rPr>
              <w:tab/>
            </w:r>
            <w:r>
              <w:rPr>
                <w:rFonts w:hint="eastAsia" w:ascii="宋体" w:hAnsi="宋体" w:eastAsia="宋体" w:cs="宋体"/>
                <w:b/>
                <w:bCs/>
                <w:i w:val="0"/>
                <w:iCs w:val="0"/>
                <w:color w:val="auto"/>
                <w:kern w:val="0"/>
                <w:sz w:val="20"/>
                <w:szCs w:val="20"/>
                <w:u w:val="none"/>
                <w:lang w:val="en-US" w:eastAsia="zh-CN" w:bidi="ar"/>
              </w:rPr>
              <w:t>详细描述</w:t>
            </w:r>
            <w:r>
              <w:rPr>
                <w:rFonts w:hint="eastAsia" w:ascii="宋体" w:hAnsi="宋体" w:cs="宋体"/>
                <w:b/>
                <w:bCs/>
                <w:i w:val="0"/>
                <w:iCs w:val="0"/>
                <w:color w:val="auto"/>
                <w:kern w:val="0"/>
                <w:sz w:val="20"/>
                <w:szCs w:val="20"/>
                <w:u w:val="none"/>
                <w:lang w:val="en-US" w:eastAsia="zh-CN" w:bidi="ar"/>
              </w:rPr>
              <w:tab/>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761" w:hRule="atLeast"/>
        </w:trPr>
        <w:tc>
          <w:tcPr>
            <w:tcW w:w="8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077"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平台优化服务</w:t>
            </w:r>
          </w:p>
        </w:tc>
        <w:tc>
          <w:tcPr>
            <w:tcW w:w="12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三小场所治理专题</w:t>
            </w:r>
          </w:p>
        </w:tc>
        <w:tc>
          <w:tcPr>
            <w:tcW w:w="12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三小场所治理专题</w:t>
            </w:r>
          </w:p>
        </w:tc>
        <w:tc>
          <w:tcPr>
            <w:tcW w:w="5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对接“三小”场所智慧安全监管系统告警事件、设备、案例库等数据，在区应急管理监测预警平台上分模块开发数据呈现界面。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80" w:hRule="atLeast"/>
        </w:trPr>
        <w:tc>
          <w:tcPr>
            <w:tcW w:w="8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107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功能优化</w:t>
            </w:r>
          </w:p>
        </w:tc>
        <w:tc>
          <w:tcPr>
            <w:tcW w:w="124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视频治理能力提升</w:t>
            </w:r>
          </w:p>
        </w:tc>
        <w:tc>
          <w:tcPr>
            <w:tcW w:w="12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一键创建视频集功能</w:t>
            </w:r>
          </w:p>
        </w:tc>
        <w:tc>
          <w:tcPr>
            <w:tcW w:w="5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新增批量导入视频集信息功能，并支持创建、存档视频集。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00" w:hRule="atLeast"/>
        </w:trPr>
        <w:tc>
          <w:tcPr>
            <w:tcW w:w="8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107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2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2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视频资源台账导出</w:t>
            </w:r>
          </w:p>
        </w:tc>
        <w:tc>
          <w:tcPr>
            <w:tcW w:w="5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完善视频数据导出功能，支持新接入视频等视频信息台账导出。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80" w:hRule="atLeast"/>
        </w:trPr>
        <w:tc>
          <w:tcPr>
            <w:tcW w:w="8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107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2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2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视频接入提示与记录</w:t>
            </w:r>
          </w:p>
        </w:tc>
        <w:tc>
          <w:tcPr>
            <w:tcW w:w="5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新增新接入视频信息提示及接入记录查询与导出功能。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340" w:hRule="atLeast"/>
        </w:trPr>
        <w:tc>
          <w:tcPr>
            <w:tcW w:w="8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107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25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应急资源信息动态更新</w:t>
            </w:r>
          </w:p>
        </w:tc>
        <w:tc>
          <w:tcPr>
            <w:tcW w:w="5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进一步完善应急资源模块，支持应急资源类型及信息项等内容的动态调整更新，支持更新内容的同步动态展示，提升数据维护效率，优化数据更新功能。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00" w:hRule="atLeast"/>
        </w:trPr>
        <w:tc>
          <w:tcPr>
            <w:tcW w:w="8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c>
          <w:tcPr>
            <w:tcW w:w="107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表单自动化生成能力提升</w:t>
            </w:r>
          </w:p>
        </w:tc>
        <w:tc>
          <w:tcPr>
            <w:tcW w:w="5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增强监测预警提示单自动生成能力，支持数据库内数据的自动获取、计算与填充，强化数据统计分析能力，提升表单生成的自动化程度。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67" w:hRule="atLeast"/>
        </w:trPr>
        <w:tc>
          <w:tcPr>
            <w:tcW w:w="8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w:t>
            </w:r>
          </w:p>
        </w:tc>
        <w:tc>
          <w:tcPr>
            <w:tcW w:w="107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25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开通平台访客功能</w:t>
            </w:r>
          </w:p>
        </w:tc>
        <w:tc>
          <w:tcPr>
            <w:tcW w:w="5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加强平台访客管理，新增访客权限，并设计开发访客内容。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40" w:hRule="atLeast"/>
        </w:trPr>
        <w:tc>
          <w:tcPr>
            <w:tcW w:w="8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w:t>
            </w:r>
          </w:p>
        </w:tc>
        <w:tc>
          <w:tcPr>
            <w:tcW w:w="107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25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告警数据统计分析能力提升</w:t>
            </w:r>
          </w:p>
        </w:tc>
        <w:tc>
          <w:tcPr>
            <w:tcW w:w="5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进一步增强对告警数据的筛选功能，强化告警数据导出能力，提升告警事件日常统计分析的效率。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761" w:hRule="atLeast"/>
        </w:trPr>
        <w:tc>
          <w:tcPr>
            <w:tcW w:w="8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w:t>
            </w:r>
          </w:p>
        </w:tc>
        <w:tc>
          <w:tcPr>
            <w:tcW w:w="10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算法升级</w:t>
            </w:r>
          </w:p>
        </w:tc>
        <w:tc>
          <w:tcPr>
            <w:tcW w:w="12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可迭代算法</w:t>
            </w:r>
          </w:p>
        </w:tc>
        <w:tc>
          <w:tcPr>
            <w:tcW w:w="12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安全帽佩戴检测</w:t>
            </w:r>
          </w:p>
        </w:tc>
        <w:tc>
          <w:tcPr>
            <w:tcW w:w="5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优化安全帽佩戴检测算法，进一步提高算法准确率。</w:t>
            </w:r>
          </w:p>
        </w:tc>
      </w:tr>
    </w:tbl>
    <w:p>
      <w:pPr>
        <w:pStyle w:val="3"/>
        <w:ind w:left="0" w:leftChars="0" w:firstLine="0" w:firstLineChars="0"/>
        <w:rPr>
          <w:rFonts w:hint="eastAsia"/>
          <w:lang w:val="en" w:eastAsia="zh-CN"/>
        </w:rPr>
      </w:pPr>
    </w:p>
    <w:p>
      <w:pPr>
        <w:keepNext w:val="0"/>
        <w:keepLines w:val="0"/>
        <w:pageBreakBefore w:val="0"/>
        <w:widowControl w:val="0"/>
        <w:numPr>
          <w:ilvl w:val="0"/>
          <w:numId w:val="0"/>
        </w:numPr>
        <w:kinsoku/>
        <w:wordWrap/>
        <w:overflowPunct/>
        <w:topLinePunct w:val="0"/>
        <w:autoSpaceDE/>
        <w:autoSpaceDN/>
        <w:bidi w:val="0"/>
        <w:snapToGrid w:val="0"/>
        <w:spacing w:line="560" w:lineRule="exact"/>
        <w:ind w:firstLine="560" w:firstLineChars="200"/>
        <w:textAlignment w:val="auto"/>
        <w:rPr>
          <w:rFonts w:hint="eastAsia" w:ascii="仿宋_GB2312" w:hAnsi="仿宋_GB2312" w:eastAsia="仿宋_GB2312" w:cs="仿宋_GB2312"/>
          <w:bCs/>
          <w:color w:val="auto"/>
          <w:sz w:val="28"/>
          <w:szCs w:val="28"/>
          <w:highlight w:val="none"/>
          <w:lang w:val="en-US" w:eastAsia="zh-CN"/>
        </w:rPr>
      </w:pPr>
      <w:r>
        <w:rPr>
          <w:rFonts w:hint="eastAsia" w:ascii="仿宋_GB2312" w:hAnsi="仿宋_GB2312" w:eastAsia="仿宋_GB2312" w:cs="仿宋_GB2312"/>
          <w:bCs/>
          <w:color w:val="auto"/>
          <w:sz w:val="28"/>
          <w:szCs w:val="28"/>
          <w:highlight w:val="none"/>
          <w:lang w:val="en-US" w:eastAsia="zh-CN"/>
        </w:rPr>
        <w:t>2、服务工作成果及要求</w:t>
      </w:r>
    </w:p>
    <w:p>
      <w:pPr>
        <w:keepNext w:val="0"/>
        <w:keepLines w:val="0"/>
        <w:pageBreakBefore w:val="0"/>
        <w:widowControl w:val="0"/>
        <w:numPr>
          <w:ilvl w:val="0"/>
          <w:numId w:val="0"/>
        </w:numPr>
        <w:kinsoku/>
        <w:wordWrap/>
        <w:overflowPunct/>
        <w:topLinePunct w:val="0"/>
        <w:autoSpaceDE/>
        <w:autoSpaceDN/>
        <w:bidi w:val="0"/>
        <w:snapToGrid w:val="0"/>
        <w:spacing w:line="560" w:lineRule="exact"/>
        <w:ind w:firstLine="560" w:firstLineChars="200"/>
        <w:textAlignment w:val="auto"/>
        <w:rPr>
          <w:rFonts w:hint="eastAsia" w:ascii="仿宋_GB2312" w:hAnsi="仿宋_GB2312" w:eastAsia="仿宋_GB2312" w:cs="仿宋_GB2312"/>
          <w:bCs/>
          <w:color w:val="auto"/>
          <w:sz w:val="28"/>
          <w:szCs w:val="28"/>
          <w:highlight w:val="none"/>
          <w:lang w:val="en-US" w:eastAsia="zh-CN"/>
        </w:rPr>
      </w:pPr>
      <w:r>
        <w:rPr>
          <w:rFonts w:hint="eastAsia" w:ascii="仿宋_GB2312" w:hAnsi="仿宋_GB2312" w:eastAsia="仿宋_GB2312" w:cs="仿宋_GB2312"/>
          <w:bCs/>
          <w:color w:val="auto"/>
          <w:sz w:val="28"/>
          <w:szCs w:val="28"/>
          <w:highlight w:val="none"/>
          <w:lang w:val="en-US" w:eastAsia="zh-CN"/>
        </w:rPr>
        <w:t>严格按照合同约定及标准完成项目的服务内容。</w:t>
      </w:r>
      <w:bookmarkStart w:id="0" w:name="_GoBack"/>
      <w:bookmarkEnd w:id="0"/>
    </w:p>
    <w:p>
      <w:pPr>
        <w:keepNext w:val="0"/>
        <w:keepLines w:val="0"/>
        <w:pageBreakBefore w:val="0"/>
        <w:widowControl w:val="0"/>
        <w:numPr>
          <w:ilvl w:val="0"/>
          <w:numId w:val="0"/>
        </w:numPr>
        <w:kinsoku/>
        <w:wordWrap/>
        <w:overflowPunct/>
        <w:topLinePunct w:val="0"/>
        <w:autoSpaceDE/>
        <w:autoSpaceDN/>
        <w:bidi w:val="0"/>
        <w:snapToGrid w:val="0"/>
        <w:spacing w:line="560" w:lineRule="exact"/>
        <w:ind w:firstLine="560" w:firstLineChars="200"/>
        <w:textAlignment w:val="auto"/>
        <w:rPr>
          <w:rFonts w:hint="eastAsia" w:ascii="黑体" w:hAnsi="黑体" w:eastAsia="黑体" w:cs="黑体"/>
          <w:b w:val="0"/>
          <w:bCs/>
          <w:color w:val="auto"/>
          <w:sz w:val="28"/>
          <w:szCs w:val="28"/>
        </w:rPr>
      </w:pPr>
      <w:r>
        <w:rPr>
          <w:rFonts w:hint="eastAsia" w:ascii="黑体" w:hAnsi="黑体" w:eastAsia="黑体" w:cs="黑体"/>
          <w:b w:val="0"/>
          <w:bCs/>
          <w:color w:val="auto"/>
          <w:sz w:val="28"/>
          <w:szCs w:val="28"/>
        </w:rPr>
        <w:t>三、商务需求</w:t>
      </w:r>
    </w:p>
    <w:p>
      <w:pPr>
        <w:keepNext w:val="0"/>
        <w:keepLines w:val="0"/>
        <w:pageBreakBefore w:val="0"/>
        <w:widowControl/>
        <w:numPr>
          <w:ilvl w:val="0"/>
          <w:numId w:val="0"/>
        </w:numPr>
        <w:kinsoku/>
        <w:wordWrap/>
        <w:overflowPunct/>
        <w:topLinePunct w:val="0"/>
        <w:autoSpaceDE/>
        <w:autoSpaceDN/>
        <w:bidi w:val="0"/>
        <w:adjustRightInd w:val="0"/>
        <w:snapToGrid w:val="0"/>
        <w:spacing w:line="500" w:lineRule="exact"/>
        <w:ind w:firstLine="560" w:firstLineChars="200"/>
        <w:textAlignment w:val="auto"/>
        <w:rPr>
          <w:rFonts w:hint="eastAsia" w:ascii="仿宋_GB2312" w:hAnsi="仿宋_GB2312" w:eastAsia="仿宋_GB2312" w:cs="仿宋_GB2312"/>
          <w:bCs/>
          <w:color w:val="auto"/>
          <w:sz w:val="28"/>
          <w:szCs w:val="28"/>
          <w:highlight w:val="none"/>
          <w:lang w:val="en-US" w:eastAsia="zh-CN"/>
        </w:rPr>
      </w:pPr>
      <w:r>
        <w:rPr>
          <w:rFonts w:hint="eastAsia" w:ascii="仿宋_GB2312" w:hAnsi="仿宋_GB2312" w:eastAsia="仿宋_GB2312" w:cs="仿宋_GB2312"/>
          <w:bCs/>
          <w:color w:val="auto"/>
          <w:sz w:val="28"/>
          <w:szCs w:val="28"/>
          <w:highlight w:val="none"/>
          <w:lang w:val="en-US" w:eastAsia="zh-CN"/>
        </w:rPr>
        <w:t>1、服务期：自合同签订之日起10个月内完成。</w:t>
      </w:r>
    </w:p>
    <w:p>
      <w:pPr>
        <w:keepNext w:val="0"/>
        <w:keepLines w:val="0"/>
        <w:pageBreakBefore w:val="0"/>
        <w:widowControl/>
        <w:numPr>
          <w:ilvl w:val="0"/>
          <w:numId w:val="0"/>
        </w:numPr>
        <w:kinsoku/>
        <w:wordWrap/>
        <w:overflowPunct/>
        <w:topLinePunct w:val="0"/>
        <w:autoSpaceDE/>
        <w:autoSpaceDN/>
        <w:bidi w:val="0"/>
        <w:adjustRightInd w:val="0"/>
        <w:snapToGrid w:val="0"/>
        <w:spacing w:line="500" w:lineRule="exact"/>
        <w:ind w:firstLine="560" w:firstLineChars="200"/>
        <w:textAlignment w:val="auto"/>
        <w:rPr>
          <w:rFonts w:hint="eastAsia" w:ascii="仿宋_GB2312" w:hAnsi="仿宋_GB2312" w:eastAsia="仿宋_GB2312" w:cs="仿宋_GB2312"/>
          <w:bCs/>
          <w:color w:val="auto"/>
          <w:sz w:val="28"/>
          <w:szCs w:val="28"/>
          <w:highlight w:val="none"/>
          <w:lang w:val="en-US" w:eastAsia="zh-CN"/>
        </w:rPr>
      </w:pPr>
      <w:r>
        <w:rPr>
          <w:rFonts w:hint="eastAsia" w:ascii="仿宋_GB2312" w:hAnsi="仿宋_GB2312" w:eastAsia="仿宋_GB2312" w:cs="仿宋_GB2312"/>
          <w:bCs/>
          <w:color w:val="auto"/>
          <w:sz w:val="28"/>
          <w:szCs w:val="28"/>
          <w:highlight w:val="none"/>
          <w:lang w:val="en-US" w:eastAsia="zh-CN"/>
        </w:rPr>
        <w:t>2、服务地点：深圳市福田区应急管理局</w:t>
      </w:r>
    </w:p>
    <w:p>
      <w:pPr>
        <w:keepNext w:val="0"/>
        <w:keepLines w:val="0"/>
        <w:pageBreakBefore w:val="0"/>
        <w:widowControl/>
        <w:numPr>
          <w:ilvl w:val="0"/>
          <w:numId w:val="0"/>
        </w:numPr>
        <w:kinsoku/>
        <w:wordWrap/>
        <w:overflowPunct/>
        <w:topLinePunct w:val="0"/>
        <w:autoSpaceDE/>
        <w:autoSpaceDN/>
        <w:bidi w:val="0"/>
        <w:adjustRightInd w:val="0"/>
        <w:snapToGrid w:val="0"/>
        <w:spacing w:line="500" w:lineRule="exact"/>
        <w:ind w:firstLine="560" w:firstLineChars="200"/>
        <w:textAlignment w:val="auto"/>
        <w:rPr>
          <w:rFonts w:hint="eastAsia" w:ascii="仿宋_GB2312" w:hAnsi="仿宋_GB2312" w:eastAsia="仿宋_GB2312" w:cs="仿宋_GB2312"/>
          <w:bCs/>
          <w:color w:val="auto"/>
          <w:sz w:val="28"/>
          <w:szCs w:val="28"/>
          <w:highlight w:val="none"/>
          <w:lang w:val="en-US" w:eastAsia="zh-CN"/>
        </w:rPr>
      </w:pPr>
      <w:r>
        <w:rPr>
          <w:rFonts w:hint="eastAsia" w:ascii="仿宋_GB2312" w:hAnsi="仿宋_GB2312" w:eastAsia="仿宋_GB2312" w:cs="仿宋_GB2312"/>
          <w:bCs/>
          <w:color w:val="auto"/>
          <w:sz w:val="28"/>
          <w:szCs w:val="28"/>
          <w:highlight w:val="none"/>
          <w:lang w:val="en-US" w:eastAsia="zh-CN"/>
        </w:rPr>
        <w:t>3、报价要求：</w:t>
      </w:r>
    </w:p>
    <w:p>
      <w:pPr>
        <w:keepNext w:val="0"/>
        <w:keepLines w:val="0"/>
        <w:pageBreakBefore w:val="0"/>
        <w:widowControl/>
        <w:numPr>
          <w:ilvl w:val="0"/>
          <w:numId w:val="0"/>
        </w:numPr>
        <w:kinsoku/>
        <w:wordWrap/>
        <w:overflowPunct/>
        <w:topLinePunct w:val="0"/>
        <w:autoSpaceDE/>
        <w:autoSpaceDN/>
        <w:bidi w:val="0"/>
        <w:adjustRightInd w:val="0"/>
        <w:snapToGrid w:val="0"/>
        <w:spacing w:line="500" w:lineRule="exact"/>
        <w:ind w:firstLine="560" w:firstLineChars="200"/>
        <w:textAlignment w:val="auto"/>
        <w:rPr>
          <w:rFonts w:hint="eastAsia" w:ascii="仿宋_GB2312" w:hAnsi="仿宋_GB2312" w:eastAsia="仿宋_GB2312" w:cs="仿宋_GB2312"/>
          <w:bCs/>
          <w:color w:val="auto"/>
          <w:sz w:val="28"/>
          <w:szCs w:val="28"/>
          <w:highlight w:val="none"/>
          <w:lang w:val="en-US" w:eastAsia="zh-CN"/>
        </w:rPr>
      </w:pPr>
      <w:r>
        <w:rPr>
          <w:rFonts w:hint="eastAsia" w:ascii="仿宋_GB2312" w:hAnsi="仿宋_GB2312" w:eastAsia="仿宋_GB2312" w:cs="仿宋_GB2312"/>
          <w:bCs/>
          <w:color w:val="auto"/>
          <w:sz w:val="28"/>
          <w:szCs w:val="28"/>
          <w:highlight w:val="none"/>
          <w:lang w:val="en-US" w:eastAsia="zh-CN"/>
        </w:rPr>
        <w:t>（1）本项目服务费采用包干制，应包括服务成本、法定税费和企业的利润。由响应人根据采购文件所提供的资料自行测算投标报价；一经中选，报价总价作为供应商与采购人签定的合同金额，合同期限内不做调整；</w:t>
      </w:r>
    </w:p>
    <w:p>
      <w:pPr>
        <w:keepNext w:val="0"/>
        <w:keepLines w:val="0"/>
        <w:pageBreakBefore w:val="0"/>
        <w:widowControl/>
        <w:numPr>
          <w:ilvl w:val="0"/>
          <w:numId w:val="0"/>
        </w:numPr>
        <w:kinsoku/>
        <w:wordWrap/>
        <w:overflowPunct/>
        <w:topLinePunct w:val="0"/>
        <w:autoSpaceDE/>
        <w:autoSpaceDN/>
        <w:bidi w:val="0"/>
        <w:adjustRightInd w:val="0"/>
        <w:snapToGrid w:val="0"/>
        <w:spacing w:line="500" w:lineRule="exact"/>
        <w:ind w:firstLine="560" w:firstLineChars="200"/>
        <w:textAlignment w:val="auto"/>
        <w:rPr>
          <w:rFonts w:hint="eastAsia" w:ascii="仿宋_GB2312" w:hAnsi="仿宋_GB2312" w:eastAsia="仿宋_GB2312" w:cs="仿宋_GB2312"/>
          <w:bCs/>
          <w:color w:val="auto"/>
          <w:sz w:val="28"/>
          <w:szCs w:val="28"/>
          <w:highlight w:val="none"/>
          <w:lang w:val="en-US" w:eastAsia="zh-CN"/>
        </w:rPr>
      </w:pPr>
      <w:r>
        <w:rPr>
          <w:rFonts w:hint="eastAsia" w:ascii="仿宋_GB2312" w:hAnsi="仿宋_GB2312" w:eastAsia="仿宋_GB2312" w:cs="仿宋_GB2312"/>
          <w:bCs/>
          <w:color w:val="auto"/>
          <w:sz w:val="28"/>
          <w:szCs w:val="28"/>
          <w:highlight w:val="none"/>
          <w:lang w:val="en-US" w:eastAsia="zh-CN"/>
        </w:rPr>
        <w:t>（2）响应人应根据本企业的成本自行决定报价，但不得以低于其企业成本的报价投标；</w:t>
      </w:r>
    </w:p>
    <w:p>
      <w:pPr>
        <w:keepNext w:val="0"/>
        <w:keepLines w:val="0"/>
        <w:pageBreakBefore w:val="0"/>
        <w:widowControl/>
        <w:numPr>
          <w:ilvl w:val="0"/>
          <w:numId w:val="0"/>
        </w:numPr>
        <w:kinsoku/>
        <w:wordWrap/>
        <w:overflowPunct/>
        <w:topLinePunct w:val="0"/>
        <w:autoSpaceDE/>
        <w:autoSpaceDN/>
        <w:bidi w:val="0"/>
        <w:adjustRightInd w:val="0"/>
        <w:snapToGrid w:val="0"/>
        <w:spacing w:line="500" w:lineRule="exact"/>
        <w:ind w:firstLine="560" w:firstLineChars="200"/>
        <w:textAlignment w:val="auto"/>
        <w:rPr>
          <w:rFonts w:hint="eastAsia" w:ascii="仿宋_GB2312" w:hAnsi="仿宋_GB2312" w:eastAsia="仿宋_GB2312" w:cs="仿宋_GB2312"/>
          <w:bCs/>
          <w:color w:val="auto"/>
          <w:sz w:val="28"/>
          <w:szCs w:val="28"/>
          <w:highlight w:val="none"/>
          <w:lang w:val="en-US" w:eastAsia="zh-CN"/>
        </w:rPr>
      </w:pPr>
      <w:r>
        <w:rPr>
          <w:rFonts w:hint="eastAsia" w:ascii="仿宋_GB2312" w:hAnsi="仿宋_GB2312" w:eastAsia="仿宋_GB2312" w:cs="仿宋_GB2312"/>
          <w:bCs/>
          <w:color w:val="auto"/>
          <w:sz w:val="28"/>
          <w:szCs w:val="28"/>
          <w:highlight w:val="none"/>
          <w:lang w:val="en-US" w:eastAsia="zh-CN"/>
        </w:rPr>
        <w:t>（3）响应人的报价不得超过项目预算金额；</w:t>
      </w:r>
    </w:p>
    <w:p>
      <w:pPr>
        <w:keepNext w:val="0"/>
        <w:keepLines w:val="0"/>
        <w:pageBreakBefore w:val="0"/>
        <w:widowControl/>
        <w:numPr>
          <w:ilvl w:val="0"/>
          <w:numId w:val="0"/>
        </w:numPr>
        <w:kinsoku/>
        <w:wordWrap/>
        <w:overflowPunct/>
        <w:topLinePunct w:val="0"/>
        <w:autoSpaceDE/>
        <w:autoSpaceDN/>
        <w:bidi w:val="0"/>
        <w:adjustRightInd w:val="0"/>
        <w:snapToGrid w:val="0"/>
        <w:spacing w:line="500" w:lineRule="exact"/>
        <w:ind w:firstLine="560" w:firstLineChars="200"/>
        <w:textAlignment w:val="auto"/>
        <w:rPr>
          <w:rFonts w:hint="eastAsia" w:ascii="仿宋_GB2312" w:hAnsi="仿宋_GB2312" w:eastAsia="仿宋_GB2312" w:cs="仿宋_GB2312"/>
          <w:bCs/>
          <w:color w:val="auto"/>
          <w:sz w:val="28"/>
          <w:szCs w:val="28"/>
          <w:highlight w:val="none"/>
          <w:lang w:val="en-US" w:eastAsia="zh-CN"/>
        </w:rPr>
      </w:pPr>
      <w:r>
        <w:rPr>
          <w:rFonts w:hint="eastAsia" w:ascii="仿宋_GB2312" w:hAnsi="仿宋_GB2312" w:eastAsia="仿宋_GB2312" w:cs="仿宋_GB2312"/>
          <w:bCs/>
          <w:color w:val="auto"/>
          <w:sz w:val="28"/>
          <w:szCs w:val="28"/>
          <w:highlight w:val="none"/>
          <w:lang w:val="en-US" w:eastAsia="zh-CN"/>
        </w:rPr>
        <w:t>（4）响应人的报价，应是本项目采购范围和采购文件及合同条款上所列的各项内容中所述的全部，不得以任何理由予以重复，并以响应人最终提出的综合单价或者总价为依据；</w:t>
      </w:r>
    </w:p>
    <w:p>
      <w:pPr>
        <w:keepNext w:val="0"/>
        <w:keepLines w:val="0"/>
        <w:pageBreakBefore w:val="0"/>
        <w:widowControl/>
        <w:numPr>
          <w:ilvl w:val="0"/>
          <w:numId w:val="0"/>
        </w:numPr>
        <w:kinsoku/>
        <w:wordWrap/>
        <w:overflowPunct/>
        <w:topLinePunct w:val="0"/>
        <w:autoSpaceDE/>
        <w:autoSpaceDN/>
        <w:bidi w:val="0"/>
        <w:adjustRightInd w:val="0"/>
        <w:snapToGrid w:val="0"/>
        <w:spacing w:line="500" w:lineRule="exact"/>
        <w:ind w:firstLine="560" w:firstLineChars="200"/>
        <w:textAlignment w:val="auto"/>
        <w:rPr>
          <w:rFonts w:hint="eastAsia" w:ascii="仿宋_GB2312" w:hAnsi="仿宋_GB2312" w:eastAsia="仿宋_GB2312" w:cs="仿宋_GB2312"/>
          <w:bCs/>
          <w:color w:val="auto"/>
          <w:sz w:val="28"/>
          <w:szCs w:val="28"/>
          <w:highlight w:val="none"/>
          <w:lang w:val="en-US" w:eastAsia="zh-CN"/>
        </w:rPr>
      </w:pPr>
      <w:r>
        <w:rPr>
          <w:rFonts w:hint="eastAsia" w:ascii="仿宋_GB2312" w:hAnsi="仿宋_GB2312" w:eastAsia="仿宋_GB2312" w:cs="仿宋_GB2312"/>
          <w:bCs/>
          <w:color w:val="auto"/>
          <w:sz w:val="28"/>
          <w:szCs w:val="28"/>
          <w:highlight w:val="none"/>
          <w:lang w:val="en-US" w:eastAsia="zh-CN"/>
        </w:rPr>
        <w:t>（5）除非采购人通过修改采购文件予以更正，否则，响应人应毫无例外地按响应文件所列的清单中项目和数量填报综合单价和合价；</w:t>
      </w:r>
    </w:p>
    <w:p>
      <w:pPr>
        <w:keepNext w:val="0"/>
        <w:keepLines w:val="0"/>
        <w:pageBreakBefore w:val="0"/>
        <w:widowControl/>
        <w:numPr>
          <w:ilvl w:val="0"/>
          <w:numId w:val="0"/>
        </w:numPr>
        <w:kinsoku/>
        <w:wordWrap/>
        <w:overflowPunct/>
        <w:topLinePunct w:val="0"/>
        <w:autoSpaceDE/>
        <w:autoSpaceDN/>
        <w:bidi w:val="0"/>
        <w:adjustRightInd w:val="0"/>
        <w:snapToGrid w:val="0"/>
        <w:spacing w:line="500" w:lineRule="exact"/>
        <w:ind w:firstLine="560" w:firstLineChars="200"/>
        <w:textAlignment w:val="auto"/>
        <w:rPr>
          <w:rFonts w:hint="eastAsia" w:ascii="仿宋_GB2312" w:hAnsi="仿宋_GB2312" w:eastAsia="仿宋_GB2312" w:cs="仿宋_GB2312"/>
          <w:bCs/>
          <w:color w:val="auto"/>
          <w:sz w:val="28"/>
          <w:szCs w:val="28"/>
          <w:highlight w:val="none"/>
          <w:lang w:val="en-US" w:eastAsia="zh-CN"/>
        </w:rPr>
      </w:pPr>
      <w:r>
        <w:rPr>
          <w:rFonts w:hint="eastAsia" w:ascii="仿宋_GB2312" w:hAnsi="仿宋_GB2312" w:eastAsia="仿宋_GB2312" w:cs="仿宋_GB2312"/>
          <w:bCs/>
          <w:color w:val="auto"/>
          <w:sz w:val="28"/>
          <w:szCs w:val="28"/>
          <w:highlight w:val="none"/>
          <w:lang w:val="en-US" w:eastAsia="zh-CN"/>
        </w:rPr>
        <w:t>（6）响应人应先到项目地点踏勘以充分了解项目的位置、情况、道路及任何其它足以影响投标报价的情况，任何因忽视或者误解项目情况而导致的索赔或者服务期限延长申请将不获批准；</w:t>
      </w:r>
    </w:p>
    <w:p>
      <w:pPr>
        <w:keepNext w:val="0"/>
        <w:keepLines w:val="0"/>
        <w:pageBreakBefore w:val="0"/>
        <w:widowControl/>
        <w:numPr>
          <w:ilvl w:val="0"/>
          <w:numId w:val="0"/>
        </w:numPr>
        <w:kinsoku/>
        <w:wordWrap/>
        <w:overflowPunct/>
        <w:topLinePunct w:val="0"/>
        <w:autoSpaceDE/>
        <w:autoSpaceDN/>
        <w:bidi w:val="0"/>
        <w:adjustRightInd w:val="0"/>
        <w:snapToGrid w:val="0"/>
        <w:spacing w:line="500" w:lineRule="exact"/>
        <w:ind w:firstLine="560" w:firstLineChars="200"/>
        <w:textAlignment w:val="auto"/>
        <w:rPr>
          <w:rFonts w:hint="eastAsia" w:ascii="仿宋_GB2312" w:hAnsi="仿宋_GB2312" w:eastAsia="仿宋_GB2312" w:cs="仿宋_GB2312"/>
          <w:b w:val="0"/>
          <w:bCs/>
          <w:color w:val="auto"/>
          <w:sz w:val="28"/>
          <w:szCs w:val="28"/>
          <w:highlight w:val="none"/>
        </w:rPr>
      </w:pPr>
      <w:r>
        <w:rPr>
          <w:rFonts w:hint="eastAsia" w:ascii="仿宋_GB2312" w:hAnsi="仿宋_GB2312" w:eastAsia="仿宋_GB2312" w:cs="仿宋_GB2312"/>
          <w:bCs/>
          <w:color w:val="auto"/>
          <w:sz w:val="28"/>
          <w:szCs w:val="28"/>
          <w:highlight w:val="none"/>
          <w:lang w:val="en-US" w:eastAsia="zh-CN"/>
        </w:rPr>
        <w:t>（7）响应人不得期望通过索赔等方式获取报价补偿，否则，除可能遭到拒绝外，还可能将被作为不良行为记录在案，并可能影响其以后参加政府采购的项目投标。各响应人在报价时，应充分考虑报价的风险。</w:t>
      </w:r>
    </w:p>
    <w:p>
      <w:pPr>
        <w:keepNext w:val="0"/>
        <w:keepLines w:val="0"/>
        <w:pageBreakBefore w:val="0"/>
        <w:widowControl/>
        <w:numPr>
          <w:ilvl w:val="0"/>
          <w:numId w:val="0"/>
        </w:numPr>
        <w:kinsoku/>
        <w:wordWrap/>
        <w:overflowPunct/>
        <w:topLinePunct w:val="0"/>
        <w:autoSpaceDE/>
        <w:autoSpaceDN/>
        <w:bidi w:val="0"/>
        <w:adjustRightInd w:val="0"/>
        <w:snapToGrid w:val="0"/>
        <w:spacing w:line="500" w:lineRule="exact"/>
        <w:ind w:firstLine="560" w:firstLineChars="200"/>
        <w:textAlignment w:val="auto"/>
        <w:rPr>
          <w:rFonts w:hint="eastAsia" w:ascii="仿宋_GB2312" w:hAnsi="仿宋_GB2312" w:eastAsia="仿宋_GB2312" w:cs="仿宋_GB2312"/>
          <w:bCs/>
          <w:color w:val="auto"/>
          <w:sz w:val="28"/>
          <w:szCs w:val="28"/>
          <w:highlight w:val="none"/>
          <w:lang w:val="en-US" w:eastAsia="zh-CN"/>
        </w:rPr>
      </w:pPr>
      <w:r>
        <w:rPr>
          <w:rFonts w:hint="eastAsia" w:ascii="仿宋_GB2312" w:hAnsi="仿宋_GB2312" w:eastAsia="仿宋_GB2312" w:cs="仿宋_GB2312"/>
          <w:bCs/>
          <w:color w:val="auto"/>
          <w:sz w:val="28"/>
          <w:szCs w:val="28"/>
          <w:highlight w:val="none"/>
          <w:lang w:val="en-US" w:eastAsia="zh-CN"/>
        </w:rPr>
        <w:t>4、付款方式：</w:t>
      </w:r>
      <w:r>
        <w:rPr>
          <w:rFonts w:hint="eastAsia" w:ascii="仿宋_GB2312" w:hAnsi="仿宋_GB2312" w:eastAsia="仿宋_GB2312" w:cs="仿宋_GB2312"/>
          <w:b w:val="0"/>
          <w:bCs/>
          <w:color w:val="auto"/>
          <w:sz w:val="28"/>
          <w:szCs w:val="28"/>
          <w:highlight w:val="none"/>
          <w:lang w:val="en-US" w:eastAsia="zh-CN"/>
        </w:rPr>
        <w:t>签订合同后预付合同金额65%，</w:t>
      </w:r>
      <w:r>
        <w:rPr>
          <w:rFonts w:hint="eastAsia" w:ascii="仿宋_GB2312" w:hAnsi="仿宋_GB2312" w:eastAsia="仿宋_GB2312" w:cs="仿宋_GB2312"/>
          <w:b w:val="0"/>
          <w:bCs/>
          <w:color w:val="auto"/>
          <w:sz w:val="28"/>
          <w:szCs w:val="28"/>
          <w:highlight w:val="none"/>
          <w:lang w:eastAsia="zh-CN"/>
        </w:rPr>
        <w:t>合同到期</w:t>
      </w:r>
      <w:r>
        <w:rPr>
          <w:rFonts w:hint="eastAsia" w:ascii="仿宋_GB2312" w:hAnsi="仿宋_GB2312" w:eastAsia="仿宋_GB2312" w:cs="仿宋_GB2312"/>
          <w:b w:val="0"/>
          <w:bCs/>
          <w:color w:val="auto"/>
          <w:sz w:val="28"/>
          <w:szCs w:val="28"/>
          <w:highlight w:val="none"/>
          <w:lang w:val="en-US" w:eastAsia="zh-CN"/>
        </w:rPr>
        <w:t>并</w:t>
      </w:r>
      <w:r>
        <w:rPr>
          <w:rFonts w:hint="eastAsia" w:ascii="仿宋_GB2312" w:hAnsi="仿宋_GB2312" w:eastAsia="仿宋_GB2312" w:cs="仿宋_GB2312"/>
          <w:b w:val="0"/>
          <w:bCs/>
          <w:color w:val="auto"/>
          <w:sz w:val="28"/>
          <w:szCs w:val="28"/>
          <w:highlight w:val="none"/>
          <w:lang w:eastAsia="zh-CN"/>
        </w:rPr>
        <w:t>验收合格后支付尾款合同金额</w:t>
      </w:r>
      <w:r>
        <w:rPr>
          <w:rFonts w:hint="eastAsia" w:ascii="仿宋_GB2312" w:hAnsi="仿宋_GB2312" w:eastAsia="仿宋_GB2312" w:cs="仿宋_GB2312"/>
          <w:b w:val="0"/>
          <w:bCs/>
          <w:color w:val="auto"/>
          <w:sz w:val="28"/>
          <w:szCs w:val="28"/>
          <w:highlight w:val="none"/>
          <w:lang w:val="en-US" w:eastAsia="zh-CN"/>
        </w:rPr>
        <w:t>35%</w:t>
      </w:r>
      <w:r>
        <w:rPr>
          <w:rFonts w:hint="eastAsia" w:ascii="仿宋_GB2312" w:hAnsi="仿宋_GB2312" w:eastAsia="仿宋_GB2312" w:cs="仿宋_GB2312"/>
          <w:b w:val="0"/>
          <w:bCs/>
          <w:color w:val="auto"/>
          <w:sz w:val="28"/>
          <w:szCs w:val="28"/>
          <w:highlight w:val="none"/>
        </w:rPr>
        <w:t>。</w:t>
      </w:r>
    </w:p>
    <w:p>
      <w:pPr>
        <w:keepNext w:val="0"/>
        <w:keepLines w:val="0"/>
        <w:pageBreakBefore w:val="0"/>
        <w:widowControl/>
        <w:numPr>
          <w:ilvl w:val="0"/>
          <w:numId w:val="0"/>
        </w:numPr>
        <w:kinsoku/>
        <w:wordWrap/>
        <w:overflowPunct/>
        <w:topLinePunct w:val="0"/>
        <w:autoSpaceDE/>
        <w:autoSpaceDN/>
        <w:bidi w:val="0"/>
        <w:adjustRightInd w:val="0"/>
        <w:snapToGrid w:val="0"/>
        <w:spacing w:line="500" w:lineRule="exact"/>
        <w:ind w:firstLine="560" w:firstLineChars="200"/>
        <w:textAlignment w:val="auto"/>
        <w:rPr>
          <w:rFonts w:hint="eastAsia" w:ascii="仿宋_GB2312" w:hAnsi="仿宋_GB2312" w:eastAsia="仿宋_GB2312" w:cs="仿宋_GB2312"/>
          <w:bCs/>
          <w:color w:val="auto"/>
          <w:sz w:val="28"/>
          <w:szCs w:val="28"/>
          <w:highlight w:val="none"/>
          <w:lang w:val="en-US" w:eastAsia="zh-CN"/>
        </w:rPr>
      </w:pPr>
      <w:r>
        <w:rPr>
          <w:rFonts w:hint="eastAsia" w:ascii="仿宋_GB2312" w:hAnsi="仿宋_GB2312" w:eastAsia="仿宋_GB2312" w:cs="仿宋_GB2312"/>
          <w:bCs/>
          <w:color w:val="auto"/>
          <w:sz w:val="28"/>
          <w:szCs w:val="28"/>
          <w:highlight w:val="none"/>
          <w:lang w:val="en-US" w:eastAsia="zh-CN"/>
        </w:rPr>
        <w:t>5、验收方式：采购人在项目完成验收合格后支付尾款 ，将按照合同约定的服务内容对供应商的服务进行逐项验收。项目验收后，双方共同签署验收报告，验收报告内容包括每一项技术、服务、安全标准的验收情况及项目总体评价，验收报告将作为服务费尾款支付的重要依据。</w:t>
      </w:r>
    </w:p>
    <w:p>
      <w:pPr>
        <w:keepNext w:val="0"/>
        <w:keepLines w:val="0"/>
        <w:pageBreakBefore w:val="0"/>
        <w:widowControl/>
        <w:numPr>
          <w:ilvl w:val="0"/>
          <w:numId w:val="0"/>
        </w:numPr>
        <w:kinsoku/>
        <w:wordWrap/>
        <w:overflowPunct/>
        <w:topLinePunct w:val="0"/>
        <w:autoSpaceDE/>
        <w:autoSpaceDN/>
        <w:bidi w:val="0"/>
        <w:adjustRightInd w:val="0"/>
        <w:snapToGrid w:val="0"/>
        <w:spacing w:line="500" w:lineRule="exact"/>
        <w:ind w:firstLine="560" w:firstLineChars="200"/>
        <w:textAlignment w:val="auto"/>
        <w:rPr>
          <w:rFonts w:hint="eastAsia" w:ascii="仿宋_GB2312" w:hAnsi="仿宋_GB2312" w:eastAsia="仿宋_GB2312" w:cs="仿宋_GB2312"/>
          <w:bCs/>
          <w:color w:val="auto"/>
          <w:sz w:val="28"/>
          <w:szCs w:val="28"/>
          <w:highlight w:val="none"/>
          <w:lang w:val="en-US" w:eastAsia="zh-CN"/>
        </w:rPr>
      </w:pPr>
      <w:r>
        <w:rPr>
          <w:rFonts w:hint="eastAsia" w:ascii="仿宋_GB2312" w:hAnsi="仿宋_GB2312" w:eastAsia="仿宋_GB2312" w:cs="仿宋_GB2312"/>
          <w:bCs/>
          <w:color w:val="auto"/>
          <w:sz w:val="28"/>
          <w:szCs w:val="28"/>
          <w:highlight w:val="none"/>
          <w:lang w:val="en-US" w:eastAsia="zh-CN"/>
        </w:rPr>
        <w:t>6、违约责任：</w:t>
      </w:r>
    </w:p>
    <w:p>
      <w:pPr>
        <w:keepNext w:val="0"/>
        <w:keepLines w:val="0"/>
        <w:pageBreakBefore w:val="0"/>
        <w:widowControl/>
        <w:numPr>
          <w:ilvl w:val="0"/>
          <w:numId w:val="0"/>
        </w:numPr>
        <w:kinsoku/>
        <w:wordWrap/>
        <w:overflowPunct/>
        <w:topLinePunct w:val="0"/>
        <w:autoSpaceDE/>
        <w:autoSpaceDN/>
        <w:bidi w:val="0"/>
        <w:adjustRightInd w:val="0"/>
        <w:snapToGrid w:val="0"/>
        <w:spacing w:line="500" w:lineRule="exact"/>
        <w:ind w:firstLine="560" w:firstLineChars="200"/>
        <w:textAlignment w:val="auto"/>
        <w:rPr>
          <w:rFonts w:hint="eastAsia" w:ascii="仿宋_GB2312" w:hAnsi="仿宋_GB2312" w:eastAsia="仿宋_GB2312" w:cs="仿宋_GB2312"/>
          <w:bCs/>
          <w:color w:val="auto"/>
          <w:sz w:val="28"/>
          <w:szCs w:val="28"/>
          <w:highlight w:val="none"/>
          <w:lang w:val="en-US" w:eastAsia="zh-CN"/>
        </w:rPr>
      </w:pPr>
      <w:r>
        <w:rPr>
          <w:rFonts w:hint="eastAsia" w:ascii="仿宋_GB2312" w:hAnsi="仿宋_GB2312" w:eastAsia="仿宋_GB2312" w:cs="仿宋_GB2312"/>
          <w:bCs/>
          <w:color w:val="auto"/>
          <w:sz w:val="28"/>
          <w:szCs w:val="28"/>
          <w:highlight w:val="none"/>
          <w:lang w:val="en-US" w:eastAsia="zh-CN"/>
        </w:rPr>
        <w:t>（1）甲乙双方应严格按照合同约定履行，任何一方违约均应向守约方承担合同价款20%的违约金，并赔偿因此受到的损失。</w:t>
      </w:r>
    </w:p>
    <w:p>
      <w:pPr>
        <w:keepNext w:val="0"/>
        <w:keepLines w:val="0"/>
        <w:pageBreakBefore w:val="0"/>
        <w:widowControl/>
        <w:numPr>
          <w:ilvl w:val="0"/>
          <w:numId w:val="0"/>
        </w:numPr>
        <w:kinsoku/>
        <w:wordWrap/>
        <w:overflowPunct/>
        <w:topLinePunct w:val="0"/>
        <w:autoSpaceDE/>
        <w:autoSpaceDN/>
        <w:bidi w:val="0"/>
        <w:adjustRightInd w:val="0"/>
        <w:snapToGrid w:val="0"/>
        <w:spacing w:line="500" w:lineRule="exact"/>
        <w:ind w:firstLine="560" w:firstLineChars="200"/>
        <w:textAlignment w:val="auto"/>
        <w:rPr>
          <w:rFonts w:hint="eastAsia" w:ascii="仿宋_GB2312" w:hAnsi="仿宋_GB2312" w:eastAsia="仿宋_GB2312" w:cs="仿宋_GB2312"/>
          <w:bCs/>
          <w:color w:val="auto"/>
          <w:sz w:val="28"/>
          <w:szCs w:val="28"/>
          <w:highlight w:val="none"/>
          <w:lang w:val="en-US" w:eastAsia="zh-CN"/>
        </w:rPr>
      </w:pPr>
      <w:r>
        <w:rPr>
          <w:rFonts w:hint="eastAsia" w:ascii="仿宋_GB2312" w:hAnsi="仿宋_GB2312" w:eastAsia="仿宋_GB2312" w:cs="仿宋_GB2312"/>
          <w:bCs/>
          <w:color w:val="auto"/>
          <w:sz w:val="28"/>
          <w:szCs w:val="28"/>
          <w:highlight w:val="none"/>
          <w:lang w:val="en-US" w:eastAsia="zh-CN"/>
        </w:rPr>
        <w:t>（2）乙方原因未能按本合同规定的服务内容提供服务，甲方有权要求乙方整改或调整，否则甲方有权解除合同，并要求乙方返还合同款。</w:t>
      </w:r>
    </w:p>
    <w:p>
      <w:pPr>
        <w:keepNext w:val="0"/>
        <w:keepLines w:val="0"/>
        <w:pageBreakBefore w:val="0"/>
        <w:widowControl/>
        <w:numPr>
          <w:ilvl w:val="0"/>
          <w:numId w:val="0"/>
        </w:numPr>
        <w:kinsoku/>
        <w:wordWrap/>
        <w:overflowPunct/>
        <w:topLinePunct w:val="0"/>
        <w:autoSpaceDE/>
        <w:autoSpaceDN/>
        <w:bidi w:val="0"/>
        <w:adjustRightInd w:val="0"/>
        <w:snapToGrid w:val="0"/>
        <w:spacing w:line="500" w:lineRule="exact"/>
        <w:ind w:firstLine="560" w:firstLineChars="200"/>
        <w:textAlignment w:val="auto"/>
        <w:rPr>
          <w:rFonts w:hint="eastAsia" w:ascii="仿宋_GB2312" w:hAnsi="仿宋_GB2312" w:eastAsia="仿宋_GB2312" w:cs="仿宋_GB2312"/>
          <w:bCs/>
          <w:color w:val="auto"/>
          <w:sz w:val="28"/>
          <w:szCs w:val="28"/>
          <w:highlight w:val="none"/>
          <w:lang w:val="en-US" w:eastAsia="zh-CN"/>
        </w:rPr>
      </w:pPr>
      <w:r>
        <w:rPr>
          <w:rFonts w:hint="eastAsia" w:ascii="仿宋_GB2312" w:hAnsi="仿宋_GB2312" w:eastAsia="仿宋_GB2312" w:cs="仿宋_GB2312"/>
          <w:bCs/>
          <w:color w:val="auto"/>
          <w:sz w:val="28"/>
          <w:szCs w:val="28"/>
          <w:highlight w:val="none"/>
          <w:lang w:val="en-US" w:eastAsia="zh-CN"/>
        </w:rPr>
        <w:t>（3）乙方违反合同保密义务造成甲方损失，乙方应当赔偿甲方的损失并支付合同总金额20%的违约金；如因乙方违反保密义务给甲方造成重大损失，甲方有权解除合同，乙方应退还全部合同款项。</w:t>
      </w:r>
    </w:p>
    <w:p>
      <w:pPr>
        <w:keepNext w:val="0"/>
        <w:keepLines w:val="0"/>
        <w:pageBreakBefore w:val="0"/>
        <w:widowControl/>
        <w:numPr>
          <w:ilvl w:val="0"/>
          <w:numId w:val="0"/>
        </w:numPr>
        <w:kinsoku/>
        <w:wordWrap/>
        <w:overflowPunct/>
        <w:topLinePunct w:val="0"/>
        <w:autoSpaceDE/>
        <w:autoSpaceDN/>
        <w:bidi w:val="0"/>
        <w:adjustRightInd w:val="0"/>
        <w:snapToGrid w:val="0"/>
        <w:spacing w:line="500" w:lineRule="exact"/>
        <w:ind w:firstLine="560" w:firstLineChars="200"/>
        <w:textAlignment w:val="auto"/>
        <w:rPr>
          <w:rFonts w:hint="eastAsia" w:ascii="仿宋_GB2312" w:hAnsi="仿宋_GB2312" w:eastAsia="仿宋_GB2312" w:cs="仿宋_GB2312"/>
          <w:bCs/>
          <w:color w:val="auto"/>
          <w:sz w:val="28"/>
          <w:szCs w:val="28"/>
          <w:highlight w:val="none"/>
          <w:lang w:val="en-US" w:eastAsia="zh-CN"/>
        </w:rPr>
      </w:pPr>
      <w:r>
        <w:rPr>
          <w:rFonts w:hint="eastAsia" w:ascii="仿宋_GB2312" w:hAnsi="仿宋_GB2312" w:eastAsia="仿宋_GB2312" w:cs="仿宋_GB2312"/>
          <w:bCs/>
          <w:color w:val="auto"/>
          <w:sz w:val="28"/>
          <w:szCs w:val="28"/>
          <w:highlight w:val="none"/>
          <w:lang w:val="en-US" w:eastAsia="zh-CN"/>
        </w:rPr>
        <w:t>（4）乙方保证其向甲方提供的服务不侵犯任何第三方的知识产权，如果因上述原因而使甲方遭受任何第三方提出的赔偿，乙方应承担因侵犯第三人知识产权的侵权赔偿责任，及因此侵权知识产权行为影响甲方正常工作而给甲方造成的损失赔偿责任，并承担因此而产生的相关法律费用，包括但不限于诉讼费、律师费、保全费、鉴定费、执行费用等。</w:t>
      </w:r>
    </w:p>
    <w:p>
      <w:pPr>
        <w:keepNext w:val="0"/>
        <w:keepLines w:val="0"/>
        <w:pageBreakBefore w:val="0"/>
        <w:widowControl/>
        <w:numPr>
          <w:ilvl w:val="0"/>
          <w:numId w:val="0"/>
        </w:numPr>
        <w:kinsoku/>
        <w:wordWrap/>
        <w:overflowPunct/>
        <w:topLinePunct w:val="0"/>
        <w:autoSpaceDE/>
        <w:autoSpaceDN/>
        <w:bidi w:val="0"/>
        <w:adjustRightInd w:val="0"/>
        <w:snapToGrid w:val="0"/>
        <w:spacing w:line="500" w:lineRule="exact"/>
        <w:ind w:firstLine="560" w:firstLineChars="200"/>
        <w:textAlignment w:val="auto"/>
        <w:rPr>
          <w:rFonts w:hint="eastAsia" w:ascii="仿宋_GB2312" w:hAnsi="仿宋_GB2312" w:eastAsia="仿宋_GB2312" w:cs="仿宋_GB2312"/>
          <w:bCs/>
          <w:color w:val="auto"/>
          <w:sz w:val="28"/>
          <w:szCs w:val="28"/>
          <w:highlight w:val="none"/>
          <w:lang w:val="en-US" w:eastAsia="zh-CN"/>
        </w:rPr>
      </w:pPr>
      <w:r>
        <w:rPr>
          <w:rFonts w:hint="eastAsia" w:ascii="仿宋_GB2312" w:hAnsi="仿宋_GB2312" w:eastAsia="仿宋_GB2312" w:cs="仿宋_GB2312"/>
          <w:bCs/>
          <w:color w:val="auto"/>
          <w:sz w:val="28"/>
          <w:szCs w:val="28"/>
          <w:highlight w:val="none"/>
          <w:lang w:val="en-US" w:eastAsia="zh-CN"/>
        </w:rPr>
        <w:t>（5）其它违约责任按《中华人民共和国民法典》处理。</w:t>
      </w:r>
    </w:p>
    <w:p>
      <w:pPr>
        <w:keepNext w:val="0"/>
        <w:keepLines w:val="0"/>
        <w:pageBreakBefore w:val="0"/>
        <w:widowControl w:val="0"/>
        <w:numPr>
          <w:ilvl w:val="0"/>
          <w:numId w:val="0"/>
        </w:numPr>
        <w:kinsoku/>
        <w:wordWrap/>
        <w:overflowPunct/>
        <w:topLinePunct w:val="0"/>
        <w:autoSpaceDE/>
        <w:autoSpaceDN/>
        <w:bidi w:val="0"/>
        <w:snapToGrid w:val="0"/>
        <w:spacing w:line="560" w:lineRule="exact"/>
        <w:ind w:firstLine="640" w:firstLineChars="200"/>
        <w:textAlignment w:val="auto"/>
        <w:rPr>
          <w:rFonts w:hint="eastAsia" w:ascii="黑体" w:hAnsi="黑体" w:eastAsia="黑体" w:cs="黑体"/>
          <w:b w:val="0"/>
          <w:bCs/>
          <w:color w:val="auto"/>
          <w:sz w:val="32"/>
          <w:szCs w:val="32"/>
          <w:lang w:eastAsia="zh-CN"/>
        </w:rPr>
      </w:pPr>
      <w:r>
        <w:rPr>
          <w:rFonts w:hint="eastAsia" w:ascii="黑体" w:hAnsi="黑体" w:eastAsia="黑体" w:cs="黑体"/>
          <w:b w:val="0"/>
          <w:bCs/>
          <w:color w:val="auto"/>
          <w:sz w:val="32"/>
          <w:szCs w:val="32"/>
          <w:lang w:eastAsia="zh-CN"/>
        </w:rPr>
        <w:t>四</w:t>
      </w:r>
      <w:r>
        <w:rPr>
          <w:rFonts w:hint="eastAsia" w:ascii="黑体" w:hAnsi="黑体" w:eastAsia="黑体" w:cs="黑体"/>
          <w:b w:val="0"/>
          <w:bCs/>
          <w:color w:val="auto"/>
          <w:sz w:val="32"/>
          <w:szCs w:val="32"/>
        </w:rPr>
        <w:t>、</w:t>
      </w:r>
      <w:r>
        <w:rPr>
          <w:rFonts w:hint="eastAsia" w:ascii="黑体" w:hAnsi="黑体" w:eastAsia="黑体" w:cs="黑体"/>
          <w:b w:val="0"/>
          <w:bCs/>
          <w:color w:val="auto"/>
          <w:sz w:val="32"/>
          <w:szCs w:val="32"/>
          <w:lang w:eastAsia="zh-CN"/>
        </w:rPr>
        <w:t>供应商响应文件组成及格式</w:t>
      </w:r>
    </w:p>
    <w:p>
      <w:pPr>
        <w:keepNext w:val="0"/>
        <w:keepLines w:val="0"/>
        <w:pageBreakBefore w:val="0"/>
        <w:widowControl/>
        <w:numPr>
          <w:ilvl w:val="0"/>
          <w:numId w:val="0"/>
        </w:numPr>
        <w:kinsoku/>
        <w:wordWrap/>
        <w:overflowPunct/>
        <w:topLinePunct w:val="0"/>
        <w:autoSpaceDE/>
        <w:autoSpaceDN/>
        <w:bidi w:val="0"/>
        <w:adjustRightInd w:val="0"/>
        <w:snapToGrid w:val="0"/>
        <w:spacing w:line="500" w:lineRule="exact"/>
        <w:ind w:firstLine="560" w:firstLineChars="200"/>
        <w:textAlignment w:val="auto"/>
        <w:rPr>
          <w:rFonts w:hint="eastAsia" w:ascii="仿宋_GB2312" w:hAnsi="仿宋_GB2312" w:eastAsia="仿宋_GB2312" w:cs="仿宋_GB2312"/>
          <w:b w:val="0"/>
          <w:bCs/>
          <w:color w:val="auto"/>
          <w:sz w:val="28"/>
          <w:szCs w:val="28"/>
          <w:highlight w:val="none"/>
          <w:lang w:eastAsia="zh-CN"/>
        </w:rPr>
      </w:pPr>
      <w:r>
        <w:rPr>
          <w:rFonts w:hint="eastAsia" w:ascii="仿宋_GB2312" w:hAnsi="仿宋_GB2312" w:eastAsia="仿宋_GB2312" w:cs="仿宋_GB2312"/>
          <w:b w:val="0"/>
          <w:bCs/>
          <w:color w:val="auto"/>
          <w:sz w:val="28"/>
          <w:szCs w:val="28"/>
          <w:highlight w:val="none"/>
          <w:lang w:eastAsia="zh-CN"/>
        </w:rPr>
        <w:t>供应商应提供以下文件，并加盖公章：</w:t>
      </w:r>
    </w:p>
    <w:p>
      <w:pPr>
        <w:keepNext w:val="0"/>
        <w:keepLines w:val="0"/>
        <w:pageBreakBefore w:val="0"/>
        <w:widowControl/>
        <w:numPr>
          <w:ilvl w:val="0"/>
          <w:numId w:val="0"/>
        </w:numPr>
        <w:kinsoku/>
        <w:wordWrap/>
        <w:overflowPunct/>
        <w:topLinePunct w:val="0"/>
        <w:autoSpaceDE/>
        <w:autoSpaceDN/>
        <w:bidi w:val="0"/>
        <w:adjustRightInd w:val="0"/>
        <w:snapToGrid w:val="0"/>
        <w:spacing w:line="500" w:lineRule="exact"/>
        <w:ind w:firstLine="560" w:firstLineChars="200"/>
        <w:jc w:val="left"/>
        <w:textAlignment w:val="auto"/>
        <w:rPr>
          <w:rFonts w:hint="eastAsia" w:ascii="仿宋_GB2312" w:hAnsi="仿宋_GB2312" w:eastAsia="仿宋_GB2312" w:cs="仿宋_GB2312"/>
          <w:b w:val="0"/>
          <w:bCs/>
          <w:color w:val="auto"/>
          <w:kern w:val="2"/>
          <w:sz w:val="28"/>
          <w:szCs w:val="28"/>
          <w:highlight w:val="none"/>
          <w:lang w:val="en-US" w:eastAsia="zh-CN" w:bidi="ar-SA"/>
        </w:rPr>
      </w:pPr>
      <w:r>
        <w:rPr>
          <w:rFonts w:hint="eastAsia" w:ascii="仿宋_GB2312" w:hAnsi="仿宋_GB2312" w:eastAsia="仿宋_GB2312" w:cs="仿宋_GB2312"/>
          <w:b w:val="0"/>
          <w:bCs/>
          <w:color w:val="auto"/>
          <w:kern w:val="2"/>
          <w:sz w:val="28"/>
          <w:szCs w:val="28"/>
          <w:highlight w:val="none"/>
          <w:lang w:val="en-US" w:eastAsia="zh-CN" w:bidi="ar-SA"/>
        </w:rPr>
        <w:t>1.营业执照扫描件（或事业单位法人证书、其它具有独立承担民事责任能力的登记证明资料扫描件）</w:t>
      </w:r>
    </w:p>
    <w:p>
      <w:pPr>
        <w:keepNext w:val="0"/>
        <w:keepLines w:val="0"/>
        <w:pageBreakBefore w:val="0"/>
        <w:widowControl/>
        <w:numPr>
          <w:ilvl w:val="0"/>
          <w:numId w:val="0"/>
        </w:numPr>
        <w:kinsoku/>
        <w:wordWrap/>
        <w:overflowPunct/>
        <w:topLinePunct w:val="0"/>
        <w:autoSpaceDE/>
        <w:autoSpaceDN/>
        <w:bidi w:val="0"/>
        <w:adjustRightInd w:val="0"/>
        <w:snapToGrid w:val="0"/>
        <w:spacing w:line="500" w:lineRule="exact"/>
        <w:ind w:firstLine="560" w:firstLineChars="200"/>
        <w:jc w:val="left"/>
        <w:textAlignment w:val="auto"/>
        <w:rPr>
          <w:rFonts w:hint="eastAsia" w:ascii="仿宋_GB2312" w:hAnsi="仿宋_GB2312" w:eastAsia="仿宋_GB2312" w:cs="仿宋_GB2312"/>
          <w:b w:val="0"/>
          <w:bCs/>
          <w:color w:val="auto"/>
          <w:kern w:val="2"/>
          <w:sz w:val="28"/>
          <w:szCs w:val="28"/>
          <w:highlight w:val="none"/>
          <w:lang w:val="en-US" w:eastAsia="zh-CN" w:bidi="ar-SA"/>
        </w:rPr>
      </w:pPr>
      <w:r>
        <w:rPr>
          <w:rFonts w:hint="eastAsia" w:ascii="仿宋_GB2312" w:hAnsi="仿宋_GB2312" w:eastAsia="仿宋_GB2312" w:cs="仿宋_GB2312"/>
          <w:b w:val="0"/>
          <w:bCs/>
          <w:color w:val="auto"/>
          <w:kern w:val="2"/>
          <w:sz w:val="28"/>
          <w:szCs w:val="28"/>
          <w:highlight w:val="none"/>
          <w:lang w:val="en-US" w:eastAsia="zh-CN" w:bidi="ar-SA"/>
        </w:rPr>
        <w:t>2.法人证明及响应文件签署授权委托书</w:t>
      </w:r>
    </w:p>
    <w:p>
      <w:pPr>
        <w:keepNext w:val="0"/>
        <w:keepLines w:val="0"/>
        <w:pageBreakBefore w:val="0"/>
        <w:widowControl/>
        <w:numPr>
          <w:ilvl w:val="0"/>
          <w:numId w:val="0"/>
        </w:numPr>
        <w:kinsoku/>
        <w:wordWrap/>
        <w:overflowPunct/>
        <w:topLinePunct w:val="0"/>
        <w:autoSpaceDE/>
        <w:autoSpaceDN/>
        <w:bidi w:val="0"/>
        <w:adjustRightInd w:val="0"/>
        <w:snapToGrid w:val="0"/>
        <w:spacing w:line="500" w:lineRule="exact"/>
        <w:ind w:firstLine="560" w:firstLineChars="200"/>
        <w:jc w:val="left"/>
        <w:textAlignment w:val="auto"/>
        <w:rPr>
          <w:rFonts w:hint="eastAsia" w:ascii="仿宋_GB2312" w:hAnsi="仿宋_GB2312" w:eastAsia="仿宋_GB2312" w:cs="仿宋_GB2312"/>
          <w:b w:val="0"/>
          <w:bCs/>
          <w:color w:val="auto"/>
          <w:kern w:val="2"/>
          <w:sz w:val="28"/>
          <w:szCs w:val="28"/>
          <w:highlight w:val="none"/>
          <w:lang w:val="en-US" w:eastAsia="zh-CN" w:bidi="ar-SA"/>
        </w:rPr>
      </w:pPr>
      <w:r>
        <w:rPr>
          <w:rFonts w:hint="eastAsia" w:ascii="仿宋_GB2312" w:hAnsi="仿宋_GB2312" w:eastAsia="仿宋_GB2312" w:cs="仿宋_GB2312"/>
          <w:b w:val="0"/>
          <w:bCs/>
          <w:color w:val="auto"/>
          <w:kern w:val="2"/>
          <w:sz w:val="28"/>
          <w:szCs w:val="28"/>
          <w:highlight w:val="none"/>
          <w:lang w:val="en-US" w:eastAsia="zh-CN" w:bidi="ar-SA"/>
        </w:rPr>
        <w:t>3.供应商基本情况表</w:t>
      </w:r>
    </w:p>
    <w:p>
      <w:pPr>
        <w:keepNext w:val="0"/>
        <w:keepLines w:val="0"/>
        <w:pageBreakBefore w:val="0"/>
        <w:widowControl/>
        <w:numPr>
          <w:ilvl w:val="0"/>
          <w:numId w:val="0"/>
        </w:numPr>
        <w:kinsoku/>
        <w:wordWrap/>
        <w:overflowPunct/>
        <w:topLinePunct w:val="0"/>
        <w:autoSpaceDE/>
        <w:autoSpaceDN/>
        <w:bidi w:val="0"/>
        <w:adjustRightInd w:val="0"/>
        <w:snapToGrid w:val="0"/>
        <w:spacing w:line="500" w:lineRule="exact"/>
        <w:ind w:firstLine="560" w:firstLineChars="200"/>
        <w:textAlignment w:val="auto"/>
        <w:rPr>
          <w:rFonts w:hint="eastAsia" w:ascii="仿宋_GB2312" w:hAnsi="仿宋_GB2312" w:eastAsia="仿宋_GB2312" w:cs="仿宋_GB2312"/>
          <w:b w:val="0"/>
          <w:bCs/>
          <w:color w:val="auto"/>
          <w:sz w:val="28"/>
          <w:szCs w:val="28"/>
          <w:highlight w:val="none"/>
          <w:lang w:val="en-US" w:eastAsia="zh-CN"/>
        </w:rPr>
      </w:pPr>
      <w:r>
        <w:rPr>
          <w:rFonts w:hint="eastAsia" w:ascii="仿宋_GB2312" w:hAnsi="仿宋_GB2312" w:eastAsia="仿宋_GB2312" w:cs="仿宋_GB2312"/>
          <w:b w:val="0"/>
          <w:bCs/>
          <w:color w:val="auto"/>
          <w:sz w:val="28"/>
          <w:szCs w:val="28"/>
          <w:highlight w:val="none"/>
          <w:lang w:val="en-US" w:eastAsia="zh-CN"/>
        </w:rPr>
        <w:t>4.法定代表人、投标授权代表人、项目负责人（如有）最近一个月的社保缴纳证明，以及企业股权关系证明</w:t>
      </w:r>
    </w:p>
    <w:p>
      <w:pPr>
        <w:keepNext w:val="0"/>
        <w:keepLines w:val="0"/>
        <w:pageBreakBefore w:val="0"/>
        <w:widowControl/>
        <w:numPr>
          <w:ilvl w:val="0"/>
          <w:numId w:val="0"/>
        </w:numPr>
        <w:kinsoku/>
        <w:wordWrap/>
        <w:overflowPunct/>
        <w:topLinePunct w:val="0"/>
        <w:autoSpaceDE/>
        <w:autoSpaceDN/>
        <w:bidi w:val="0"/>
        <w:adjustRightInd w:val="0"/>
        <w:snapToGrid w:val="0"/>
        <w:spacing w:line="500" w:lineRule="exact"/>
        <w:ind w:firstLine="560" w:firstLineChars="200"/>
        <w:jc w:val="left"/>
        <w:textAlignment w:val="auto"/>
        <w:rPr>
          <w:rFonts w:hint="eastAsia" w:ascii="仿宋_GB2312" w:hAnsi="仿宋_GB2312" w:eastAsia="仿宋_GB2312" w:cs="仿宋_GB2312"/>
          <w:b w:val="0"/>
          <w:bCs/>
          <w:color w:val="auto"/>
          <w:kern w:val="2"/>
          <w:sz w:val="28"/>
          <w:szCs w:val="28"/>
          <w:highlight w:val="none"/>
          <w:lang w:val="en-US" w:eastAsia="zh-CN" w:bidi="ar-SA"/>
        </w:rPr>
      </w:pPr>
      <w:r>
        <w:rPr>
          <w:rFonts w:hint="eastAsia" w:ascii="仿宋_GB2312" w:hAnsi="仿宋_GB2312" w:eastAsia="仿宋_GB2312" w:cs="仿宋_GB2312"/>
          <w:b w:val="0"/>
          <w:bCs/>
          <w:color w:val="auto"/>
          <w:kern w:val="2"/>
          <w:sz w:val="28"/>
          <w:szCs w:val="28"/>
          <w:highlight w:val="none"/>
          <w:lang w:val="en-US" w:eastAsia="zh-CN" w:bidi="ar-SA"/>
        </w:rPr>
        <w:t>5.承诺函</w:t>
      </w:r>
    </w:p>
    <w:p>
      <w:pPr>
        <w:keepNext w:val="0"/>
        <w:keepLines w:val="0"/>
        <w:pageBreakBefore w:val="0"/>
        <w:widowControl/>
        <w:numPr>
          <w:ilvl w:val="0"/>
          <w:numId w:val="0"/>
        </w:numPr>
        <w:kinsoku/>
        <w:wordWrap/>
        <w:overflowPunct/>
        <w:topLinePunct w:val="0"/>
        <w:autoSpaceDE/>
        <w:autoSpaceDN/>
        <w:bidi w:val="0"/>
        <w:adjustRightInd w:val="0"/>
        <w:snapToGrid w:val="0"/>
        <w:spacing w:line="500" w:lineRule="exact"/>
        <w:ind w:firstLine="560" w:firstLineChars="200"/>
        <w:jc w:val="left"/>
        <w:textAlignment w:val="auto"/>
        <w:rPr>
          <w:rFonts w:hint="eastAsia" w:ascii="仿宋_GB2312" w:hAnsi="仿宋_GB2312" w:eastAsia="仿宋_GB2312" w:cs="仿宋_GB2312"/>
          <w:b w:val="0"/>
          <w:bCs/>
          <w:color w:val="auto"/>
          <w:kern w:val="2"/>
          <w:sz w:val="28"/>
          <w:szCs w:val="28"/>
          <w:highlight w:val="none"/>
          <w:lang w:val="en-US" w:eastAsia="zh-CN" w:bidi="ar-SA"/>
        </w:rPr>
      </w:pPr>
      <w:r>
        <w:rPr>
          <w:rFonts w:hint="eastAsia" w:ascii="仿宋_GB2312" w:hAnsi="仿宋_GB2312" w:eastAsia="仿宋_GB2312" w:cs="仿宋_GB2312"/>
          <w:b w:val="0"/>
          <w:bCs/>
          <w:color w:val="auto"/>
          <w:kern w:val="2"/>
          <w:sz w:val="28"/>
          <w:szCs w:val="28"/>
          <w:highlight w:val="none"/>
          <w:lang w:val="en-US" w:eastAsia="zh-CN" w:bidi="ar-SA"/>
        </w:rPr>
        <w:t>6.项目详细报价</w:t>
      </w:r>
    </w:p>
    <w:p>
      <w:pPr>
        <w:keepNext w:val="0"/>
        <w:keepLines w:val="0"/>
        <w:pageBreakBefore w:val="0"/>
        <w:widowControl/>
        <w:numPr>
          <w:ilvl w:val="0"/>
          <w:numId w:val="0"/>
        </w:numPr>
        <w:kinsoku/>
        <w:wordWrap/>
        <w:overflowPunct/>
        <w:topLinePunct w:val="0"/>
        <w:autoSpaceDE/>
        <w:autoSpaceDN/>
        <w:bidi w:val="0"/>
        <w:adjustRightInd w:val="0"/>
        <w:snapToGrid w:val="0"/>
        <w:spacing w:line="500" w:lineRule="exact"/>
        <w:ind w:firstLine="560" w:firstLineChars="200"/>
        <w:jc w:val="left"/>
        <w:textAlignment w:val="auto"/>
        <w:rPr>
          <w:rFonts w:hint="eastAsia" w:ascii="仿宋_GB2312" w:hAnsi="仿宋_GB2312" w:eastAsia="仿宋_GB2312" w:cs="仿宋_GB2312"/>
          <w:b w:val="0"/>
          <w:bCs/>
          <w:color w:val="auto"/>
          <w:kern w:val="2"/>
          <w:sz w:val="28"/>
          <w:szCs w:val="28"/>
          <w:highlight w:val="none"/>
          <w:lang w:val="en-US" w:eastAsia="zh-CN" w:bidi="ar-SA"/>
        </w:rPr>
      </w:pPr>
      <w:r>
        <w:rPr>
          <w:rFonts w:hint="eastAsia" w:ascii="仿宋_GB2312" w:hAnsi="仿宋_GB2312" w:eastAsia="仿宋_GB2312" w:cs="仿宋_GB2312"/>
          <w:b w:val="0"/>
          <w:bCs/>
          <w:color w:val="auto"/>
          <w:kern w:val="2"/>
          <w:sz w:val="28"/>
          <w:szCs w:val="28"/>
          <w:highlight w:val="none"/>
          <w:lang w:val="en-US" w:eastAsia="zh-CN" w:bidi="ar-SA"/>
        </w:rPr>
        <w:t>7.服务要求响应表</w:t>
      </w:r>
    </w:p>
    <w:p>
      <w:pPr>
        <w:keepNext w:val="0"/>
        <w:keepLines w:val="0"/>
        <w:pageBreakBefore w:val="0"/>
        <w:widowControl/>
        <w:numPr>
          <w:ilvl w:val="0"/>
          <w:numId w:val="0"/>
        </w:numPr>
        <w:kinsoku/>
        <w:wordWrap/>
        <w:overflowPunct/>
        <w:topLinePunct w:val="0"/>
        <w:autoSpaceDE/>
        <w:autoSpaceDN/>
        <w:bidi w:val="0"/>
        <w:adjustRightInd w:val="0"/>
        <w:snapToGrid w:val="0"/>
        <w:spacing w:line="500" w:lineRule="exact"/>
        <w:ind w:firstLine="560" w:firstLineChars="200"/>
        <w:jc w:val="left"/>
        <w:textAlignment w:val="auto"/>
        <w:rPr>
          <w:rFonts w:hint="eastAsia" w:ascii="仿宋_GB2312" w:hAnsi="仿宋_GB2312" w:eastAsia="仿宋_GB2312" w:cs="仿宋_GB2312"/>
          <w:b w:val="0"/>
          <w:bCs/>
          <w:color w:val="auto"/>
          <w:kern w:val="2"/>
          <w:sz w:val="28"/>
          <w:szCs w:val="28"/>
          <w:highlight w:val="none"/>
          <w:lang w:val="en-US" w:eastAsia="zh-CN" w:bidi="ar-SA"/>
        </w:rPr>
      </w:pPr>
      <w:r>
        <w:rPr>
          <w:rFonts w:hint="eastAsia" w:ascii="仿宋_GB2312" w:hAnsi="仿宋_GB2312" w:eastAsia="仿宋_GB2312" w:cs="仿宋_GB2312"/>
          <w:b w:val="0"/>
          <w:bCs/>
          <w:color w:val="auto"/>
          <w:kern w:val="2"/>
          <w:sz w:val="28"/>
          <w:szCs w:val="28"/>
          <w:highlight w:val="none"/>
          <w:lang w:val="en-US" w:eastAsia="zh-CN" w:bidi="ar-SA"/>
        </w:rPr>
        <w:t>8.项目实施方案</w:t>
      </w:r>
    </w:p>
    <w:p>
      <w:pPr>
        <w:keepNext w:val="0"/>
        <w:keepLines w:val="0"/>
        <w:pageBreakBefore w:val="0"/>
        <w:widowControl/>
        <w:numPr>
          <w:ilvl w:val="0"/>
          <w:numId w:val="0"/>
        </w:numPr>
        <w:kinsoku/>
        <w:wordWrap/>
        <w:overflowPunct/>
        <w:topLinePunct w:val="0"/>
        <w:autoSpaceDE/>
        <w:autoSpaceDN/>
        <w:bidi w:val="0"/>
        <w:adjustRightInd w:val="0"/>
        <w:snapToGrid w:val="0"/>
        <w:spacing w:line="500" w:lineRule="exact"/>
        <w:ind w:left="0" w:leftChars="0" w:firstLine="560" w:firstLineChars="200"/>
        <w:textAlignment w:val="auto"/>
        <w:rPr>
          <w:rFonts w:hint="eastAsia" w:ascii="仿宋_GB2312" w:hAnsi="仿宋_GB2312" w:eastAsia="仿宋_GB2312" w:cs="仿宋_GB2312"/>
          <w:b w:val="0"/>
          <w:bCs/>
          <w:color w:val="auto"/>
          <w:sz w:val="28"/>
          <w:szCs w:val="28"/>
          <w:highlight w:val="none"/>
          <w:lang w:eastAsia="zh-CN"/>
        </w:rPr>
      </w:pPr>
      <w:r>
        <w:rPr>
          <w:rFonts w:hint="eastAsia" w:ascii="仿宋_GB2312" w:hAnsi="仿宋_GB2312" w:eastAsia="仿宋_GB2312" w:cs="仿宋_GB2312"/>
          <w:b w:val="0"/>
          <w:bCs/>
          <w:color w:val="auto"/>
          <w:sz w:val="28"/>
          <w:szCs w:val="28"/>
          <w:highlight w:val="none"/>
          <w:lang w:val="en-US" w:eastAsia="zh-CN"/>
        </w:rPr>
        <w:t>9.</w:t>
      </w:r>
      <w:r>
        <w:rPr>
          <w:rFonts w:hint="eastAsia" w:ascii="仿宋_GB2312" w:hAnsi="仿宋_GB2312" w:eastAsia="仿宋_GB2312" w:cs="仿宋_GB2312"/>
          <w:b w:val="0"/>
          <w:bCs/>
          <w:color w:val="auto"/>
          <w:sz w:val="28"/>
          <w:szCs w:val="28"/>
          <w:highlight w:val="none"/>
          <w:lang w:eastAsia="zh-CN"/>
        </w:rPr>
        <w:t>项目重点难点分析、应对措施及相关的合理化建议</w:t>
      </w:r>
    </w:p>
    <w:p>
      <w:pPr>
        <w:keepNext w:val="0"/>
        <w:keepLines w:val="0"/>
        <w:pageBreakBefore w:val="0"/>
        <w:widowControl/>
        <w:numPr>
          <w:ilvl w:val="0"/>
          <w:numId w:val="0"/>
        </w:numPr>
        <w:kinsoku/>
        <w:wordWrap/>
        <w:overflowPunct/>
        <w:topLinePunct w:val="0"/>
        <w:autoSpaceDE/>
        <w:autoSpaceDN/>
        <w:bidi w:val="0"/>
        <w:adjustRightInd w:val="0"/>
        <w:snapToGrid w:val="0"/>
        <w:spacing w:line="500" w:lineRule="exact"/>
        <w:ind w:left="0" w:leftChars="0" w:firstLine="560" w:firstLineChars="200"/>
        <w:textAlignment w:val="auto"/>
        <w:rPr>
          <w:rFonts w:hint="eastAsia" w:ascii="仿宋_GB2312" w:hAnsi="仿宋_GB2312" w:eastAsia="仿宋_GB2312" w:cs="仿宋_GB2312"/>
          <w:b w:val="0"/>
          <w:bCs/>
          <w:color w:val="auto"/>
          <w:sz w:val="28"/>
          <w:szCs w:val="28"/>
          <w:highlight w:val="none"/>
          <w:lang w:eastAsia="zh-CN"/>
        </w:rPr>
      </w:pPr>
      <w:r>
        <w:rPr>
          <w:rFonts w:hint="eastAsia" w:ascii="仿宋_GB2312" w:hAnsi="仿宋_GB2312" w:eastAsia="仿宋_GB2312" w:cs="仿宋_GB2312"/>
          <w:b w:val="0"/>
          <w:bCs/>
          <w:color w:val="auto"/>
          <w:sz w:val="28"/>
          <w:szCs w:val="28"/>
          <w:highlight w:val="none"/>
          <w:lang w:val="en-US" w:eastAsia="zh-CN"/>
        </w:rPr>
        <w:t>10.</w:t>
      </w:r>
      <w:r>
        <w:rPr>
          <w:rFonts w:hint="eastAsia" w:ascii="仿宋_GB2312" w:hAnsi="仿宋_GB2312" w:eastAsia="仿宋_GB2312" w:cs="仿宋_GB2312"/>
          <w:b w:val="0"/>
          <w:bCs/>
          <w:color w:val="auto"/>
          <w:sz w:val="28"/>
          <w:szCs w:val="28"/>
          <w:highlight w:val="none"/>
          <w:lang w:eastAsia="zh-CN"/>
        </w:rPr>
        <w:t>项目完成（服务期满）后的服务承诺</w:t>
      </w:r>
    </w:p>
    <w:p>
      <w:pPr>
        <w:keepNext w:val="0"/>
        <w:keepLines w:val="0"/>
        <w:pageBreakBefore w:val="0"/>
        <w:widowControl/>
        <w:numPr>
          <w:ilvl w:val="0"/>
          <w:numId w:val="0"/>
        </w:numPr>
        <w:kinsoku/>
        <w:wordWrap/>
        <w:overflowPunct/>
        <w:topLinePunct w:val="0"/>
        <w:autoSpaceDE/>
        <w:autoSpaceDN/>
        <w:bidi w:val="0"/>
        <w:adjustRightInd w:val="0"/>
        <w:snapToGrid w:val="0"/>
        <w:spacing w:line="500" w:lineRule="exact"/>
        <w:ind w:left="0" w:leftChars="0" w:firstLine="560" w:firstLineChars="200"/>
        <w:textAlignment w:val="auto"/>
        <w:rPr>
          <w:rFonts w:hint="eastAsia" w:ascii="仿宋_GB2312" w:hAnsi="仿宋_GB2312" w:eastAsia="仿宋_GB2312" w:cs="仿宋_GB2312"/>
          <w:b w:val="0"/>
          <w:bCs/>
          <w:color w:val="auto"/>
          <w:sz w:val="28"/>
          <w:szCs w:val="28"/>
          <w:highlight w:val="none"/>
          <w:lang w:eastAsia="zh-CN"/>
        </w:rPr>
      </w:pPr>
      <w:r>
        <w:rPr>
          <w:rFonts w:hint="eastAsia" w:ascii="仿宋_GB2312" w:hAnsi="仿宋_GB2312" w:eastAsia="仿宋_GB2312" w:cs="仿宋_GB2312"/>
          <w:b w:val="0"/>
          <w:bCs/>
          <w:color w:val="auto"/>
          <w:sz w:val="28"/>
          <w:szCs w:val="28"/>
          <w:highlight w:val="none"/>
          <w:lang w:val="en-US" w:eastAsia="zh-CN"/>
        </w:rPr>
        <w:t>11.有效业绩</w:t>
      </w:r>
    </w:p>
    <w:p>
      <w:pPr>
        <w:keepNext w:val="0"/>
        <w:keepLines w:val="0"/>
        <w:pageBreakBefore w:val="0"/>
        <w:widowControl/>
        <w:numPr>
          <w:ilvl w:val="0"/>
          <w:numId w:val="0"/>
        </w:numPr>
        <w:kinsoku/>
        <w:wordWrap/>
        <w:overflowPunct/>
        <w:topLinePunct w:val="0"/>
        <w:autoSpaceDE/>
        <w:autoSpaceDN/>
        <w:bidi w:val="0"/>
        <w:adjustRightInd w:val="0"/>
        <w:snapToGrid w:val="0"/>
        <w:spacing w:line="500" w:lineRule="exact"/>
        <w:ind w:firstLine="560" w:firstLineChars="200"/>
        <w:textAlignment w:val="auto"/>
        <w:rPr>
          <w:rFonts w:hint="eastAsia" w:ascii="仿宋_GB2312" w:hAnsi="仿宋_GB2312" w:eastAsia="仿宋_GB2312" w:cs="仿宋_GB2312"/>
          <w:b w:val="0"/>
          <w:bCs/>
          <w:color w:val="auto"/>
          <w:sz w:val="28"/>
          <w:szCs w:val="28"/>
          <w:highlight w:val="none"/>
          <w:lang w:val="en-US" w:eastAsia="zh-CN"/>
        </w:rPr>
      </w:pPr>
      <w:r>
        <w:rPr>
          <w:rFonts w:hint="eastAsia" w:ascii="仿宋_GB2312" w:hAnsi="仿宋_GB2312" w:eastAsia="仿宋_GB2312" w:cs="仿宋_GB2312"/>
          <w:b w:val="0"/>
          <w:bCs/>
          <w:color w:val="auto"/>
          <w:sz w:val="28"/>
          <w:szCs w:val="28"/>
          <w:highlight w:val="none"/>
          <w:lang w:val="en-US" w:eastAsia="zh-CN"/>
        </w:rPr>
        <w:t>12.履约评价</w:t>
      </w:r>
    </w:p>
    <w:p>
      <w:pPr>
        <w:keepNext w:val="0"/>
        <w:keepLines w:val="0"/>
        <w:pageBreakBefore w:val="0"/>
        <w:widowControl/>
        <w:numPr>
          <w:ilvl w:val="0"/>
          <w:numId w:val="0"/>
        </w:numPr>
        <w:kinsoku/>
        <w:wordWrap/>
        <w:overflowPunct/>
        <w:topLinePunct w:val="0"/>
        <w:autoSpaceDE/>
        <w:autoSpaceDN/>
        <w:bidi w:val="0"/>
        <w:adjustRightInd w:val="0"/>
        <w:snapToGrid w:val="0"/>
        <w:spacing w:line="500" w:lineRule="exact"/>
        <w:ind w:firstLine="560" w:firstLineChars="200"/>
        <w:textAlignment w:val="auto"/>
        <w:rPr>
          <w:rFonts w:hint="eastAsia" w:ascii="仿宋_GB2312" w:hAnsi="仿宋_GB2312" w:eastAsia="仿宋_GB2312" w:cs="仿宋_GB2312"/>
          <w:b w:val="0"/>
          <w:bCs/>
          <w:color w:val="auto"/>
          <w:sz w:val="28"/>
          <w:szCs w:val="28"/>
          <w:highlight w:val="none"/>
          <w:lang w:val="en-US" w:eastAsia="zh-CN"/>
        </w:rPr>
      </w:pPr>
      <w:r>
        <w:rPr>
          <w:rFonts w:hint="eastAsia" w:ascii="仿宋_GB2312" w:hAnsi="仿宋_GB2312" w:eastAsia="仿宋_GB2312" w:cs="仿宋_GB2312"/>
          <w:b w:val="0"/>
          <w:bCs/>
          <w:color w:val="auto"/>
          <w:sz w:val="28"/>
          <w:szCs w:val="28"/>
          <w:highlight w:val="none"/>
          <w:lang w:val="en-US" w:eastAsia="zh-CN"/>
        </w:rPr>
        <w:t>13.拟安排的项目服务团队成员情况</w:t>
      </w:r>
    </w:p>
    <w:p>
      <w:pPr>
        <w:keepNext w:val="0"/>
        <w:keepLines w:val="0"/>
        <w:pageBreakBefore w:val="0"/>
        <w:widowControl w:val="0"/>
        <w:kinsoku/>
        <w:wordWrap/>
        <w:overflowPunct/>
        <w:topLinePunct w:val="0"/>
        <w:autoSpaceDE/>
        <w:autoSpaceDN/>
        <w:bidi w:val="0"/>
        <w:spacing w:line="560" w:lineRule="exact"/>
        <w:textAlignment w:val="auto"/>
        <w:rPr>
          <w:b/>
          <w:bCs/>
        </w:rPr>
      </w:pPr>
    </w:p>
    <w:sectPr>
      <w:pgSz w:w="11906" w:h="16838"/>
      <w:pgMar w:top="2098" w:right="1474" w:bottom="1984"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_GB2312">
    <w:panose1 w:val="02010609030101010101"/>
    <w:charset w:val="86"/>
    <w:family w:val="auto"/>
    <w:pitch w:val="default"/>
    <w:sig w:usb0="00000001" w:usb1="080E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A1947CF"/>
    <w:rsid w:val="1F721CA3"/>
    <w:rsid w:val="1FEF8DC8"/>
    <w:rsid w:val="2AEF77F4"/>
    <w:rsid w:val="36BD34E8"/>
    <w:rsid w:val="3C379919"/>
    <w:rsid w:val="3ECBE7FC"/>
    <w:rsid w:val="4A1947CF"/>
    <w:rsid w:val="5ACB2074"/>
    <w:rsid w:val="5BEDED07"/>
    <w:rsid w:val="5CAF46F2"/>
    <w:rsid w:val="5CEE3F7B"/>
    <w:rsid w:val="5EF74B3B"/>
    <w:rsid w:val="5FCF1A0B"/>
    <w:rsid w:val="6DF6DC1E"/>
    <w:rsid w:val="6ECDFEE7"/>
    <w:rsid w:val="73FD1C41"/>
    <w:rsid w:val="74B65A65"/>
    <w:rsid w:val="75338C69"/>
    <w:rsid w:val="75F69604"/>
    <w:rsid w:val="77ED14DE"/>
    <w:rsid w:val="77F9164B"/>
    <w:rsid w:val="77FFCF4F"/>
    <w:rsid w:val="79B95622"/>
    <w:rsid w:val="7AF77AEB"/>
    <w:rsid w:val="7DBBF96F"/>
    <w:rsid w:val="7DFE5C42"/>
    <w:rsid w:val="7F3E1F6A"/>
    <w:rsid w:val="7F9F0ACC"/>
    <w:rsid w:val="7F9F6AC6"/>
    <w:rsid w:val="7FEFBF70"/>
    <w:rsid w:val="7FF710FF"/>
    <w:rsid w:val="A57FE3D6"/>
    <w:rsid w:val="A6FE55B0"/>
    <w:rsid w:val="A7EF5754"/>
    <w:rsid w:val="B52731F2"/>
    <w:rsid w:val="B7A5FC59"/>
    <w:rsid w:val="BDFE7995"/>
    <w:rsid w:val="C97EA64B"/>
    <w:rsid w:val="CAF74CC2"/>
    <w:rsid w:val="DF8374DF"/>
    <w:rsid w:val="DFDF4E89"/>
    <w:rsid w:val="E3EF9086"/>
    <w:rsid w:val="EDFA85B7"/>
    <w:rsid w:val="F177BE58"/>
    <w:rsid w:val="F37C3A0A"/>
    <w:rsid w:val="F56D1713"/>
    <w:rsid w:val="F5DF4319"/>
    <w:rsid w:val="F7DF5654"/>
    <w:rsid w:val="FAC712CE"/>
    <w:rsid w:val="FD13689F"/>
    <w:rsid w:val="FDFFB0D1"/>
    <w:rsid w:val="FF6F196F"/>
    <w:rsid w:val="FFFD405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99"/>
  </w:style>
  <w:style w:type="paragraph" w:styleId="3">
    <w:name w:val="Normal Indent"/>
    <w:basedOn w:val="1"/>
    <w:qFormat/>
    <w:uiPriority w:val="0"/>
    <w:pPr>
      <w:spacing w:line="560" w:lineRule="exact"/>
      <w:ind w:firstLine="420" w:firstLineChars="200"/>
    </w:pPr>
  </w:style>
  <w:style w:type="character" w:styleId="6">
    <w:name w:val="Emphasis"/>
    <w:basedOn w:val="5"/>
    <w:qFormat/>
    <w:uiPriority w:val="0"/>
    <w:rPr>
      <w:i/>
    </w:rPr>
  </w:style>
  <w:style w:type="paragraph" w:customStyle="1" w:styleId="7">
    <w:name w:val="列出段落1"/>
    <w:basedOn w:val="1"/>
    <w:qFormat/>
    <w:uiPriority w:val="34"/>
    <w:pPr>
      <w:adjustRightInd w:val="0"/>
      <w:spacing w:line="360" w:lineRule="atLeast"/>
      <w:ind w:firstLine="420" w:firstLineChars="200"/>
      <w:textAlignment w:val="baseline"/>
    </w:pPr>
    <w:rPr>
      <w:rFonts w:ascii="Calibri" w:hAnsi="Calibri" w:eastAsia="宋体" w:cs="Times New Roman"/>
      <w:szCs w:val="24"/>
    </w:rPr>
  </w:style>
  <w:style w:type="character" w:customStyle="1" w:styleId="8">
    <w:name w:val="font21"/>
    <w:basedOn w:val="5"/>
    <w:qFormat/>
    <w:uiPriority w:val="0"/>
    <w:rPr>
      <w:rFonts w:hint="eastAsia" w:ascii="宋体" w:hAnsi="宋体" w:eastAsia="宋体" w:cs="宋体"/>
      <w:color w:val="FFFFFF"/>
      <w:sz w:val="18"/>
      <w:szCs w:val="18"/>
      <w:u w:val="none"/>
    </w:rPr>
  </w:style>
  <w:style w:type="character" w:customStyle="1" w:styleId="9">
    <w:name w:val="font11"/>
    <w:basedOn w:val="5"/>
    <w:qFormat/>
    <w:uiPriority w:val="0"/>
    <w:rPr>
      <w:rFonts w:hint="eastAsia" w:ascii="微软雅黑" w:hAnsi="微软雅黑" w:eastAsia="微软雅黑" w:cs="微软雅黑"/>
      <w:color w:val="000000"/>
      <w:sz w:val="18"/>
      <w:szCs w:val="18"/>
      <w:u w:val="none"/>
    </w:rPr>
  </w:style>
  <w:style w:type="character" w:customStyle="1" w:styleId="10">
    <w:name w:val="font31"/>
    <w:basedOn w:val="5"/>
    <w:qFormat/>
    <w:uiPriority w:val="0"/>
    <w:rPr>
      <w:rFonts w:hint="eastAsia" w:ascii="仿宋_GB2312" w:eastAsia="仿宋_GB2312" w:cs="仿宋_GB2312"/>
      <w:color w:val="000000"/>
      <w:sz w:val="28"/>
      <w:szCs w:val="28"/>
      <w:u w:val="none"/>
    </w:rPr>
  </w:style>
  <w:style w:type="character" w:customStyle="1" w:styleId="11">
    <w:name w:val="font01"/>
    <w:basedOn w:val="5"/>
    <w:qFormat/>
    <w:uiPriority w:val="0"/>
    <w:rPr>
      <w:rFonts w:hint="eastAsia" w:ascii="仿宋_GB2312" w:eastAsia="仿宋_GB2312" w:cs="仿宋_GB2312"/>
      <w:color w:val="000000"/>
      <w:sz w:val="28"/>
      <w:szCs w:val="28"/>
      <w:u w:val="none"/>
    </w:rPr>
  </w:style>
  <w:style w:type="character" w:customStyle="1" w:styleId="12">
    <w:name w:val="font41"/>
    <w:basedOn w:val="5"/>
    <w:qFormat/>
    <w:uiPriority w:val="0"/>
    <w:rPr>
      <w:rFonts w:hint="eastAsia" w:ascii="仿宋_GB2312" w:eastAsia="仿宋_GB2312" w:cs="仿宋_GB2312"/>
      <w:b/>
      <w:bCs/>
      <w:color w:val="000000"/>
      <w:sz w:val="28"/>
      <w:szCs w:val="28"/>
      <w:u w:val="non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348</TotalTime>
  <ScaleCrop>false</ScaleCrop>
  <LinksUpToDate>false</LinksUpToDate>
  <CharactersWithSpaces>0</CharactersWithSpaces>
  <Application>WPS Office_11.8.2.12275_F1E327BC-269C-435d-A152-05C5408002CA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2018-07-19T15:11:00Z</dcterms:created>
  <dc:creator>d</dc:creator>
  <cp:lastModifiedBy>fthw0153</cp:lastModifiedBy>
  <cp:lastPrinted>2025-11-12T14:22:35Z</cp:lastPrinted>
  <dcterms:modified xsi:type="dcterms:W3CDTF">2025-11-12T15:33:09Z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2052-11.8.2.12275</vt:lpwstr>
  </property>
  <property fmtid="{D5CDD505-2E9C-101B-9397-08002B2CF9AE}" pid="3" name="ICV">
    <vt:lpwstr>324F8393D353FDEE54531F671EF6A3D7</vt:lpwstr>
  </property>
</Properties>
</file>